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F2" w:rsidRPr="009F346A" w:rsidRDefault="0073106E" w:rsidP="006F2323">
      <w:pPr>
        <w:widowControl w:val="0"/>
        <w:autoSpaceDE w:val="0"/>
        <w:autoSpaceDN w:val="0"/>
        <w:adjustRightInd w:val="0"/>
        <w:ind w:left="-720"/>
        <w:jc w:val="center"/>
        <w:rPr>
          <w:b/>
          <w:bCs/>
          <w:sz w:val="32"/>
          <w:szCs w:val="32"/>
        </w:rPr>
      </w:pPr>
      <w:r w:rsidRPr="009F346A">
        <w:rPr>
          <w:b/>
          <w:bCs/>
          <w:sz w:val="32"/>
          <w:szCs w:val="32"/>
        </w:rPr>
        <w:t>И</w:t>
      </w:r>
      <w:r w:rsidR="001A7860" w:rsidRPr="009F346A">
        <w:rPr>
          <w:b/>
          <w:bCs/>
          <w:sz w:val="32"/>
          <w:szCs w:val="32"/>
        </w:rPr>
        <w:t>нформаци</w:t>
      </w:r>
      <w:r w:rsidRPr="009F346A">
        <w:rPr>
          <w:b/>
          <w:bCs/>
          <w:sz w:val="32"/>
          <w:szCs w:val="32"/>
        </w:rPr>
        <w:t xml:space="preserve">я </w:t>
      </w:r>
      <w:r w:rsidR="001A7860" w:rsidRPr="009F346A">
        <w:rPr>
          <w:b/>
          <w:bCs/>
          <w:sz w:val="32"/>
          <w:szCs w:val="32"/>
        </w:rPr>
        <w:t>о практике достижения наилучш</w:t>
      </w:r>
      <w:r w:rsidRPr="009F346A">
        <w:rPr>
          <w:b/>
          <w:bCs/>
          <w:sz w:val="32"/>
          <w:szCs w:val="32"/>
        </w:rPr>
        <w:t>их</w:t>
      </w:r>
    </w:p>
    <w:p w:rsidR="0073106E" w:rsidRPr="009F346A" w:rsidRDefault="001A7860" w:rsidP="006F2323">
      <w:pPr>
        <w:widowControl w:val="0"/>
        <w:autoSpaceDE w:val="0"/>
        <w:autoSpaceDN w:val="0"/>
        <w:adjustRightInd w:val="0"/>
        <w:ind w:left="-720"/>
        <w:jc w:val="center"/>
        <w:rPr>
          <w:b/>
          <w:bCs/>
          <w:sz w:val="32"/>
          <w:szCs w:val="32"/>
        </w:rPr>
      </w:pPr>
      <w:r w:rsidRPr="009F346A">
        <w:rPr>
          <w:b/>
          <w:bCs/>
          <w:sz w:val="32"/>
          <w:szCs w:val="32"/>
        </w:rPr>
        <w:t>значени</w:t>
      </w:r>
      <w:r w:rsidR="0073106E" w:rsidRPr="009F346A">
        <w:rPr>
          <w:b/>
          <w:bCs/>
          <w:sz w:val="32"/>
          <w:szCs w:val="32"/>
        </w:rPr>
        <w:t>й</w:t>
      </w:r>
      <w:r w:rsidRPr="009F346A">
        <w:rPr>
          <w:b/>
          <w:bCs/>
          <w:sz w:val="32"/>
          <w:szCs w:val="32"/>
        </w:rPr>
        <w:t xml:space="preserve"> показател</w:t>
      </w:r>
      <w:r w:rsidR="0073106E" w:rsidRPr="009F346A">
        <w:rPr>
          <w:b/>
          <w:bCs/>
          <w:sz w:val="32"/>
          <w:szCs w:val="32"/>
        </w:rPr>
        <w:t>ей</w:t>
      </w:r>
      <w:r w:rsidR="006233BA" w:rsidRPr="009F346A">
        <w:rPr>
          <w:b/>
          <w:bCs/>
          <w:sz w:val="32"/>
          <w:szCs w:val="32"/>
        </w:rPr>
        <w:t xml:space="preserve"> </w:t>
      </w:r>
      <w:r w:rsidRPr="009F346A">
        <w:rPr>
          <w:b/>
          <w:bCs/>
          <w:sz w:val="32"/>
          <w:szCs w:val="32"/>
        </w:rPr>
        <w:t>за 20</w:t>
      </w:r>
      <w:r w:rsidR="002762C4" w:rsidRPr="009F346A">
        <w:rPr>
          <w:b/>
          <w:bCs/>
          <w:sz w:val="32"/>
          <w:szCs w:val="32"/>
        </w:rPr>
        <w:t xml:space="preserve">20 </w:t>
      </w:r>
      <w:r w:rsidRPr="009F346A">
        <w:rPr>
          <w:b/>
          <w:bCs/>
          <w:sz w:val="32"/>
          <w:szCs w:val="32"/>
        </w:rPr>
        <w:t>год</w:t>
      </w:r>
    </w:p>
    <w:p w:rsidR="009E2072" w:rsidRPr="009F346A" w:rsidRDefault="009E2072" w:rsidP="006F2323">
      <w:pPr>
        <w:widowControl w:val="0"/>
        <w:autoSpaceDE w:val="0"/>
        <w:autoSpaceDN w:val="0"/>
        <w:adjustRightInd w:val="0"/>
        <w:ind w:left="-720" w:firstLine="709"/>
        <w:jc w:val="center"/>
        <w:rPr>
          <w:bCs/>
          <w:sz w:val="28"/>
          <w:szCs w:val="28"/>
        </w:rPr>
      </w:pPr>
    </w:p>
    <w:p w:rsidR="00525901" w:rsidRPr="009F346A" w:rsidRDefault="00525901" w:rsidP="006F2323">
      <w:pPr>
        <w:widowControl w:val="0"/>
        <w:autoSpaceDE w:val="0"/>
        <w:autoSpaceDN w:val="0"/>
        <w:adjustRightInd w:val="0"/>
        <w:ind w:left="-720"/>
        <w:jc w:val="center"/>
        <w:outlineLvl w:val="1"/>
        <w:rPr>
          <w:b/>
          <w:i/>
          <w:sz w:val="28"/>
          <w:szCs w:val="28"/>
        </w:rPr>
      </w:pPr>
      <w:r w:rsidRPr="009F346A">
        <w:rPr>
          <w:b/>
          <w:i/>
          <w:sz w:val="28"/>
          <w:szCs w:val="28"/>
        </w:rPr>
        <w:t>Показатель «Объем инвестиций в основной капитал (за исключением</w:t>
      </w:r>
    </w:p>
    <w:p w:rsidR="00525901" w:rsidRPr="009F346A" w:rsidRDefault="00525901" w:rsidP="006F2323">
      <w:pPr>
        <w:widowControl w:val="0"/>
        <w:autoSpaceDE w:val="0"/>
        <w:autoSpaceDN w:val="0"/>
        <w:adjustRightInd w:val="0"/>
        <w:ind w:left="-720"/>
        <w:jc w:val="center"/>
        <w:rPr>
          <w:b/>
          <w:i/>
          <w:sz w:val="28"/>
          <w:szCs w:val="28"/>
        </w:rPr>
      </w:pPr>
      <w:r w:rsidRPr="009F346A">
        <w:rPr>
          <w:b/>
          <w:i/>
          <w:sz w:val="28"/>
          <w:szCs w:val="28"/>
        </w:rPr>
        <w:t xml:space="preserve">бюджетных средств) в расчете на одного жителя» </w:t>
      </w:r>
    </w:p>
    <w:p w:rsidR="00304D4B" w:rsidRPr="009F346A" w:rsidRDefault="00304D4B" w:rsidP="006F2323">
      <w:pPr>
        <w:widowControl w:val="0"/>
        <w:autoSpaceDE w:val="0"/>
        <w:autoSpaceDN w:val="0"/>
        <w:adjustRightInd w:val="0"/>
        <w:ind w:left="-720"/>
        <w:jc w:val="center"/>
        <w:rPr>
          <w:b/>
          <w:i/>
          <w:sz w:val="28"/>
          <w:szCs w:val="28"/>
        </w:rPr>
      </w:pPr>
    </w:p>
    <w:p w:rsidR="008062D1" w:rsidRPr="009F346A" w:rsidRDefault="008062D1" w:rsidP="008062D1">
      <w:pPr>
        <w:autoSpaceDE w:val="0"/>
        <w:autoSpaceDN w:val="0"/>
        <w:ind w:left="-720" w:firstLine="851"/>
        <w:jc w:val="both"/>
        <w:rPr>
          <w:sz w:val="28"/>
          <w:szCs w:val="28"/>
        </w:rPr>
      </w:pPr>
      <w:r w:rsidRPr="009F346A">
        <w:rPr>
          <w:sz w:val="28"/>
          <w:szCs w:val="28"/>
        </w:rPr>
        <w:t>Объем инвестиций в основной капитал (за исключением бюджетных средств) в расчете на одного жителя в 2020 году составил 3 755 192,0 руб. (2019 год – 3</w:t>
      </w:r>
      <w:r w:rsidR="00CD1A43" w:rsidRPr="009F346A">
        <w:rPr>
          <w:sz w:val="28"/>
          <w:szCs w:val="28"/>
        </w:rPr>
        <w:t> </w:t>
      </w:r>
      <w:r w:rsidRPr="009F346A">
        <w:rPr>
          <w:sz w:val="28"/>
          <w:szCs w:val="28"/>
        </w:rPr>
        <w:t>618</w:t>
      </w:r>
      <w:r w:rsidR="00CD1A43" w:rsidRPr="009F346A">
        <w:rPr>
          <w:sz w:val="28"/>
          <w:szCs w:val="28"/>
        </w:rPr>
        <w:t xml:space="preserve"> </w:t>
      </w:r>
      <w:r w:rsidRPr="009F346A">
        <w:rPr>
          <w:sz w:val="28"/>
          <w:szCs w:val="28"/>
        </w:rPr>
        <w:t>332,0</w:t>
      </w:r>
      <w:r w:rsidR="00CD1A43" w:rsidRPr="009F346A">
        <w:rPr>
          <w:sz w:val="28"/>
          <w:szCs w:val="28"/>
        </w:rPr>
        <w:t xml:space="preserve"> </w:t>
      </w:r>
      <w:r w:rsidRPr="009F346A">
        <w:rPr>
          <w:sz w:val="28"/>
          <w:szCs w:val="28"/>
        </w:rPr>
        <w:t xml:space="preserve">руб.). Основную долю в структуре инвестиций - 99,7% занимают собственные средства предприятий. </w:t>
      </w:r>
    </w:p>
    <w:p w:rsidR="008062D1" w:rsidRPr="009F346A" w:rsidRDefault="008062D1" w:rsidP="008062D1">
      <w:pPr>
        <w:autoSpaceDE w:val="0"/>
        <w:autoSpaceDN w:val="0"/>
        <w:ind w:left="-720" w:firstLine="851"/>
        <w:jc w:val="both"/>
        <w:rPr>
          <w:sz w:val="28"/>
          <w:szCs w:val="28"/>
        </w:rPr>
      </w:pPr>
      <w:r w:rsidRPr="009F346A">
        <w:rPr>
          <w:sz w:val="28"/>
          <w:szCs w:val="28"/>
        </w:rPr>
        <w:t xml:space="preserve">Наибольший удельный вес в структуре инвестиций в разрезе видов экономической деятельности занимают инвестиции по виду экономической деятельности «Добыча полезных ископаемых» – </w:t>
      </w:r>
      <w:r w:rsidR="0047016D" w:rsidRPr="009F346A">
        <w:rPr>
          <w:sz w:val="28"/>
          <w:szCs w:val="28"/>
        </w:rPr>
        <w:t>98,1</w:t>
      </w:r>
      <w:r w:rsidRPr="009F346A">
        <w:rPr>
          <w:sz w:val="28"/>
          <w:szCs w:val="28"/>
        </w:rPr>
        <w:t xml:space="preserve">%. Инвестиционные программы данной отрасли направлены на развитие и модернизацию производственных мощностей. </w:t>
      </w:r>
    </w:p>
    <w:p w:rsidR="00461A2C" w:rsidRPr="009F346A" w:rsidRDefault="00461A2C" w:rsidP="00461A2C">
      <w:pPr>
        <w:ind w:left="-720" w:firstLine="851"/>
        <w:jc w:val="both"/>
        <w:rPr>
          <w:sz w:val="28"/>
          <w:szCs w:val="28"/>
        </w:rPr>
      </w:pPr>
      <w:r w:rsidRPr="009F346A">
        <w:rPr>
          <w:sz w:val="28"/>
          <w:szCs w:val="28"/>
        </w:rPr>
        <w:t xml:space="preserve">Одним из важнейших направлений социально-экономического развития района, является привлечение инвестиций в экономику района. </w:t>
      </w:r>
    </w:p>
    <w:p w:rsidR="00461A2C" w:rsidRPr="009F346A" w:rsidRDefault="00461A2C" w:rsidP="00461A2C">
      <w:pPr>
        <w:ind w:left="-720" w:firstLine="851"/>
        <w:jc w:val="both"/>
        <w:rPr>
          <w:sz w:val="28"/>
          <w:szCs w:val="28"/>
        </w:rPr>
      </w:pPr>
      <w:r w:rsidRPr="009F346A">
        <w:rPr>
          <w:sz w:val="28"/>
          <w:szCs w:val="28"/>
        </w:rPr>
        <w:t>Администрацией района осуществляется ряд мероприятий, направленных на улучшение инвестиционного климата и конкуренции:</w:t>
      </w:r>
    </w:p>
    <w:p w:rsidR="00461A2C" w:rsidRPr="009F346A" w:rsidRDefault="00461A2C" w:rsidP="00461A2C">
      <w:pPr>
        <w:ind w:left="-720" w:firstLine="851"/>
        <w:jc w:val="both"/>
        <w:rPr>
          <w:sz w:val="28"/>
          <w:szCs w:val="28"/>
        </w:rPr>
      </w:pPr>
      <w:r w:rsidRPr="009F346A">
        <w:rPr>
          <w:sz w:val="28"/>
          <w:szCs w:val="28"/>
        </w:rPr>
        <w:t>- реализуется «дорожная карта» по улучшению состояния инвестиционного климата в районе;</w:t>
      </w:r>
    </w:p>
    <w:p w:rsidR="00461A2C" w:rsidRPr="009F346A" w:rsidRDefault="00461A2C" w:rsidP="00461A2C">
      <w:pPr>
        <w:ind w:left="-720" w:firstLine="851"/>
        <w:jc w:val="both"/>
        <w:rPr>
          <w:sz w:val="28"/>
          <w:szCs w:val="28"/>
        </w:rPr>
      </w:pPr>
      <w:r w:rsidRPr="009F346A">
        <w:rPr>
          <w:sz w:val="28"/>
          <w:szCs w:val="28"/>
        </w:rPr>
        <w:t xml:space="preserve">- улучшено наполнение Инвестиционного портала ХМАО-Югры и района, предприниматели района имеют возможность получить информацию на официальном сайте в полном объеме; </w:t>
      </w:r>
    </w:p>
    <w:p w:rsidR="00461A2C" w:rsidRPr="009F346A" w:rsidRDefault="00461A2C" w:rsidP="00461A2C">
      <w:pPr>
        <w:ind w:left="-720" w:firstLine="851"/>
        <w:jc w:val="both"/>
        <w:rPr>
          <w:sz w:val="28"/>
          <w:szCs w:val="28"/>
        </w:rPr>
      </w:pPr>
      <w:r w:rsidRPr="009F346A">
        <w:rPr>
          <w:sz w:val="28"/>
          <w:szCs w:val="28"/>
        </w:rPr>
        <w:t>- заключено 45 инвестиционных соглашений, 332 соглашени</w:t>
      </w:r>
      <w:r w:rsidR="00ED2300" w:rsidRPr="009F346A">
        <w:rPr>
          <w:sz w:val="28"/>
          <w:szCs w:val="28"/>
        </w:rPr>
        <w:t>я</w:t>
      </w:r>
      <w:r w:rsidRPr="009F346A">
        <w:rPr>
          <w:sz w:val="28"/>
          <w:szCs w:val="28"/>
        </w:rPr>
        <w:t xml:space="preserve"> и договор</w:t>
      </w:r>
      <w:r w:rsidR="00ED2300" w:rsidRPr="009F346A">
        <w:rPr>
          <w:sz w:val="28"/>
          <w:szCs w:val="28"/>
        </w:rPr>
        <w:t>а</w:t>
      </w:r>
      <w:r w:rsidRPr="009F346A">
        <w:rPr>
          <w:sz w:val="28"/>
          <w:szCs w:val="28"/>
        </w:rPr>
        <w:t xml:space="preserve"> на предоставление муниципальных мер поддержки, 28 договоров аренды с инвестиционными обязательствами</w:t>
      </w:r>
      <w:r w:rsidR="00ED2300" w:rsidRPr="009F346A">
        <w:rPr>
          <w:sz w:val="28"/>
          <w:szCs w:val="28"/>
        </w:rPr>
        <w:t>.</w:t>
      </w:r>
    </w:p>
    <w:p w:rsidR="00461A2C" w:rsidRPr="009F346A" w:rsidRDefault="00461A2C" w:rsidP="00461A2C">
      <w:pPr>
        <w:ind w:left="-720" w:firstLine="709"/>
        <w:jc w:val="both"/>
        <w:rPr>
          <w:rFonts w:eastAsia="Calibri"/>
          <w:spacing w:val="2"/>
          <w:sz w:val="28"/>
          <w:szCs w:val="28"/>
          <w:shd w:val="clear" w:color="auto" w:fill="FFFFFF"/>
        </w:rPr>
      </w:pPr>
      <w:r w:rsidRPr="009F346A">
        <w:rPr>
          <w:color w:val="000000"/>
          <w:sz w:val="28"/>
          <w:szCs w:val="28"/>
        </w:rPr>
        <w:t>В рейтинге муниципальных образований Ханты-Мансийского автономного округа – Югры по обеспечению благоприятного инвестиционного климата и содействию развитию конкуренции за 2020 год Нижневартовский район вошел в пятерку муниципальных образований с хорошими условиями предпринимательской и инвестиционной деятельности, заняв 4 место</w:t>
      </w:r>
      <w:r w:rsidRPr="009F346A">
        <w:rPr>
          <w:rFonts w:eastAsia="Calibri"/>
          <w:spacing w:val="2"/>
          <w:sz w:val="28"/>
          <w:szCs w:val="28"/>
          <w:shd w:val="clear" w:color="auto" w:fill="FFFFFF"/>
        </w:rPr>
        <w:t>.</w:t>
      </w:r>
    </w:p>
    <w:p w:rsidR="00461A2C" w:rsidRPr="009F346A" w:rsidRDefault="00461A2C" w:rsidP="003D5DC7">
      <w:pPr>
        <w:ind w:left="-709" w:firstLine="851"/>
        <w:jc w:val="both"/>
        <w:rPr>
          <w:sz w:val="28"/>
          <w:szCs w:val="28"/>
        </w:rPr>
      </w:pPr>
      <w:r w:rsidRPr="009F346A">
        <w:rPr>
          <w:sz w:val="28"/>
          <w:szCs w:val="28"/>
        </w:rPr>
        <w:t xml:space="preserve">По результатам рейтинга муниципальных образований ХМАО-Югры по качеству проведения </w:t>
      </w:r>
      <w:r w:rsidR="003D5DC7" w:rsidRPr="009F346A">
        <w:rPr>
          <w:bCs/>
          <w:sz w:val="28"/>
          <w:szCs w:val="28"/>
        </w:rPr>
        <w:t xml:space="preserve">оценки регулирующего воздействия проектов муниципальных нормативных правовых актов, экспертизы и оценки фактического воздействия муниципальных правовых актов за 2020 год </w:t>
      </w:r>
      <w:r w:rsidRPr="009F346A">
        <w:rPr>
          <w:sz w:val="28"/>
          <w:szCs w:val="28"/>
        </w:rPr>
        <w:t xml:space="preserve">Нижневартовский район занял 4 место и вошел в 1 </w:t>
      </w:r>
      <w:r w:rsidRPr="009F346A">
        <w:rPr>
          <w:spacing w:val="2"/>
          <w:sz w:val="28"/>
          <w:szCs w:val="28"/>
        </w:rPr>
        <w:t>группу ранжирования муниципальных образований «С высшим уровнем».</w:t>
      </w:r>
    </w:p>
    <w:p w:rsidR="00461A2C" w:rsidRPr="009F346A" w:rsidRDefault="00461A2C" w:rsidP="00461A2C">
      <w:pPr>
        <w:ind w:left="-720" w:firstLine="851"/>
        <w:jc w:val="both"/>
        <w:rPr>
          <w:sz w:val="28"/>
          <w:szCs w:val="28"/>
        </w:rPr>
      </w:pPr>
      <w:r w:rsidRPr="009F346A">
        <w:rPr>
          <w:sz w:val="28"/>
          <w:szCs w:val="28"/>
        </w:rPr>
        <w:t xml:space="preserve">В рамках реализации соглашения о сотрудничестве между Агентством стратегических инициатив по продвижению новых проектов и Правительством Ханты-Мансийского автономного округа Югры на территории района внедряется успешная практика «Реализация </w:t>
      </w:r>
      <w:proofErr w:type="spellStart"/>
      <w:r w:rsidRPr="009F346A">
        <w:rPr>
          <w:sz w:val="28"/>
          <w:szCs w:val="28"/>
        </w:rPr>
        <w:t>энергосервисных</w:t>
      </w:r>
      <w:proofErr w:type="spellEnd"/>
      <w:r w:rsidRPr="009F346A">
        <w:rPr>
          <w:sz w:val="28"/>
          <w:szCs w:val="28"/>
        </w:rPr>
        <w:t xml:space="preserve"> контрактов, направленных на энергосбережение». С пятнадцатью общеобразовательными учреждениями района </w:t>
      </w:r>
      <w:proofErr w:type="spellStart"/>
      <w:r w:rsidRPr="009F346A">
        <w:rPr>
          <w:sz w:val="28"/>
          <w:szCs w:val="28"/>
        </w:rPr>
        <w:t>Излучинска</w:t>
      </w:r>
      <w:proofErr w:type="spellEnd"/>
      <w:r w:rsidRPr="009F346A">
        <w:rPr>
          <w:sz w:val="28"/>
          <w:szCs w:val="28"/>
        </w:rPr>
        <w:t xml:space="preserve">, Ваты, </w:t>
      </w:r>
      <w:proofErr w:type="spellStart"/>
      <w:r w:rsidRPr="009F346A">
        <w:rPr>
          <w:sz w:val="28"/>
          <w:szCs w:val="28"/>
        </w:rPr>
        <w:t>Ларьяка</w:t>
      </w:r>
      <w:proofErr w:type="spellEnd"/>
      <w:r w:rsidRPr="009F346A">
        <w:rPr>
          <w:sz w:val="28"/>
          <w:szCs w:val="28"/>
        </w:rPr>
        <w:t xml:space="preserve">, </w:t>
      </w:r>
      <w:proofErr w:type="spellStart"/>
      <w:r w:rsidRPr="009F346A">
        <w:rPr>
          <w:sz w:val="28"/>
          <w:szCs w:val="28"/>
        </w:rPr>
        <w:t>Новоаганска</w:t>
      </w:r>
      <w:proofErr w:type="spellEnd"/>
      <w:r w:rsidRPr="009F346A">
        <w:rPr>
          <w:sz w:val="28"/>
          <w:szCs w:val="28"/>
        </w:rPr>
        <w:t xml:space="preserve">, </w:t>
      </w:r>
      <w:proofErr w:type="spellStart"/>
      <w:r w:rsidRPr="009F346A">
        <w:rPr>
          <w:sz w:val="28"/>
          <w:szCs w:val="28"/>
        </w:rPr>
        <w:t>Покура</w:t>
      </w:r>
      <w:proofErr w:type="spellEnd"/>
      <w:r w:rsidRPr="009F346A">
        <w:rPr>
          <w:sz w:val="28"/>
          <w:szCs w:val="28"/>
        </w:rPr>
        <w:t xml:space="preserve">, </w:t>
      </w:r>
      <w:proofErr w:type="spellStart"/>
      <w:r w:rsidRPr="009F346A">
        <w:rPr>
          <w:sz w:val="28"/>
          <w:szCs w:val="28"/>
        </w:rPr>
        <w:t>Агана</w:t>
      </w:r>
      <w:proofErr w:type="spellEnd"/>
      <w:r w:rsidRPr="009F346A">
        <w:rPr>
          <w:sz w:val="28"/>
          <w:szCs w:val="28"/>
        </w:rPr>
        <w:t xml:space="preserve">, </w:t>
      </w:r>
      <w:proofErr w:type="spellStart"/>
      <w:r w:rsidRPr="009F346A">
        <w:rPr>
          <w:sz w:val="28"/>
          <w:szCs w:val="28"/>
        </w:rPr>
        <w:t>Варьегана</w:t>
      </w:r>
      <w:proofErr w:type="spellEnd"/>
      <w:r w:rsidRPr="009F346A">
        <w:rPr>
          <w:sz w:val="28"/>
          <w:szCs w:val="28"/>
        </w:rPr>
        <w:t xml:space="preserve">, </w:t>
      </w:r>
      <w:proofErr w:type="spellStart"/>
      <w:r w:rsidRPr="009F346A">
        <w:rPr>
          <w:sz w:val="28"/>
          <w:szCs w:val="28"/>
        </w:rPr>
        <w:t>Чехломея</w:t>
      </w:r>
      <w:proofErr w:type="spellEnd"/>
      <w:r w:rsidRPr="009F346A">
        <w:rPr>
          <w:sz w:val="28"/>
          <w:szCs w:val="28"/>
        </w:rPr>
        <w:t xml:space="preserve">, Зайцевой Речки, </w:t>
      </w:r>
      <w:proofErr w:type="spellStart"/>
      <w:r w:rsidRPr="009F346A">
        <w:rPr>
          <w:sz w:val="28"/>
          <w:szCs w:val="28"/>
        </w:rPr>
        <w:t>Ваховска</w:t>
      </w:r>
      <w:proofErr w:type="spellEnd"/>
      <w:r w:rsidRPr="009F346A">
        <w:rPr>
          <w:sz w:val="28"/>
          <w:szCs w:val="28"/>
        </w:rPr>
        <w:t xml:space="preserve">, </w:t>
      </w:r>
      <w:proofErr w:type="spellStart"/>
      <w:r w:rsidRPr="009F346A">
        <w:rPr>
          <w:sz w:val="28"/>
          <w:szCs w:val="28"/>
        </w:rPr>
        <w:t>Корлики</w:t>
      </w:r>
      <w:proofErr w:type="spellEnd"/>
      <w:r w:rsidRPr="009F346A">
        <w:rPr>
          <w:sz w:val="28"/>
          <w:szCs w:val="28"/>
        </w:rPr>
        <w:t xml:space="preserve"> заключено 17 </w:t>
      </w:r>
      <w:proofErr w:type="spellStart"/>
      <w:r w:rsidRPr="009F346A">
        <w:rPr>
          <w:sz w:val="28"/>
          <w:szCs w:val="28"/>
        </w:rPr>
        <w:t>энергосервисных</w:t>
      </w:r>
      <w:proofErr w:type="spellEnd"/>
      <w:r w:rsidRPr="009F346A">
        <w:rPr>
          <w:sz w:val="28"/>
          <w:szCs w:val="28"/>
        </w:rPr>
        <w:t xml:space="preserve"> контрактов на установку автоматизированных индивидуальных тепловых пунктов и на внутреннее освещение. В результате энергосберегающих мероприятий снижено потребление тепловой энергии в учреждениях в денежном эквиваленте на 2 134 537 руб. Для создания благоприятного инвестиционного климата в Нижневартовском районе сформирован перечень из 52 инвестиционных проектов, реализуемых и планируемых к реализации за счет собственных средств инвесторов, на общую сумму более 1,6</w:t>
      </w:r>
      <w:r w:rsidRPr="009F346A">
        <w:rPr>
          <w:color w:val="FF0000"/>
          <w:sz w:val="28"/>
          <w:szCs w:val="28"/>
        </w:rPr>
        <w:t xml:space="preserve"> </w:t>
      </w:r>
      <w:r w:rsidRPr="009F346A">
        <w:rPr>
          <w:sz w:val="28"/>
          <w:szCs w:val="28"/>
        </w:rPr>
        <w:t xml:space="preserve">млрд. руб. Наибольшая доля проектов – в строительстве жилья и сфере сельского хозяйства. </w:t>
      </w:r>
    </w:p>
    <w:p w:rsidR="00CD1A43" w:rsidRPr="009F346A" w:rsidRDefault="00CD1A43" w:rsidP="006F2323">
      <w:pPr>
        <w:autoSpaceDE w:val="0"/>
        <w:autoSpaceDN w:val="0"/>
        <w:adjustRightInd w:val="0"/>
        <w:ind w:left="-720" w:firstLine="851"/>
        <w:jc w:val="center"/>
        <w:rPr>
          <w:b/>
          <w:i/>
          <w:sz w:val="28"/>
          <w:szCs w:val="28"/>
        </w:rPr>
      </w:pPr>
    </w:p>
    <w:p w:rsidR="00BB625B" w:rsidRPr="009F346A" w:rsidRDefault="00BB625B" w:rsidP="006F2323">
      <w:pPr>
        <w:autoSpaceDE w:val="0"/>
        <w:autoSpaceDN w:val="0"/>
        <w:adjustRightInd w:val="0"/>
        <w:ind w:left="-720" w:firstLine="851"/>
        <w:jc w:val="center"/>
        <w:rPr>
          <w:b/>
          <w:i/>
          <w:sz w:val="28"/>
          <w:szCs w:val="28"/>
        </w:rPr>
      </w:pPr>
      <w:r w:rsidRPr="009F346A">
        <w:rPr>
          <w:b/>
          <w:i/>
          <w:sz w:val="28"/>
          <w:szCs w:val="28"/>
        </w:rPr>
        <w:t>Показатель «</w:t>
      </w:r>
      <w:r w:rsidR="00E95C95" w:rsidRPr="009F346A">
        <w:rPr>
          <w:b/>
          <w:i/>
          <w:sz w:val="28"/>
          <w:szCs w:val="28"/>
        </w:rPr>
        <w:t>Доля прибыльных сельскохозяйственных организаций в общем их числе</w:t>
      </w:r>
      <w:r w:rsidRPr="009F346A">
        <w:rPr>
          <w:b/>
          <w:i/>
          <w:sz w:val="28"/>
          <w:szCs w:val="28"/>
        </w:rPr>
        <w:t>»</w:t>
      </w:r>
    </w:p>
    <w:p w:rsidR="00836325" w:rsidRPr="009F346A" w:rsidRDefault="00836325" w:rsidP="00836325">
      <w:pPr>
        <w:ind w:left="-709" w:firstLine="567"/>
        <w:jc w:val="both"/>
        <w:rPr>
          <w:sz w:val="28"/>
          <w:szCs w:val="28"/>
        </w:rPr>
      </w:pPr>
      <w:r w:rsidRPr="009F346A">
        <w:rPr>
          <w:sz w:val="28"/>
          <w:szCs w:val="28"/>
        </w:rPr>
        <w:t xml:space="preserve">В 2020 году доля прибыльных сельскохозяйственных организаций составила 100%. </w:t>
      </w:r>
    </w:p>
    <w:p w:rsidR="00836325" w:rsidRPr="009F346A" w:rsidRDefault="00836325" w:rsidP="00836325">
      <w:pPr>
        <w:autoSpaceDE w:val="0"/>
        <w:autoSpaceDN w:val="0"/>
        <w:adjustRightInd w:val="0"/>
        <w:ind w:left="-709" w:firstLine="567"/>
        <w:jc w:val="both"/>
        <w:rPr>
          <w:sz w:val="28"/>
          <w:szCs w:val="28"/>
        </w:rPr>
      </w:pPr>
      <w:r w:rsidRPr="009F346A">
        <w:rPr>
          <w:sz w:val="28"/>
          <w:szCs w:val="28"/>
        </w:rPr>
        <w:t>В соответствии с Соглашением между крестьянским фермерским хозяйством "</w:t>
      </w:r>
      <w:proofErr w:type="spellStart"/>
      <w:r w:rsidRPr="009F346A">
        <w:rPr>
          <w:sz w:val="28"/>
          <w:szCs w:val="28"/>
        </w:rPr>
        <w:t>Мардер</w:t>
      </w:r>
      <w:proofErr w:type="spellEnd"/>
      <w:r w:rsidRPr="009F346A">
        <w:rPr>
          <w:sz w:val="28"/>
          <w:szCs w:val="28"/>
        </w:rPr>
        <w:t>" и Департаментом промышленности ХМАО-Югры № 38-С-10 от 21.06.2017 КФК "</w:t>
      </w:r>
      <w:proofErr w:type="spellStart"/>
      <w:r w:rsidRPr="009F346A">
        <w:rPr>
          <w:sz w:val="28"/>
          <w:szCs w:val="28"/>
        </w:rPr>
        <w:t>Мардер</w:t>
      </w:r>
      <w:proofErr w:type="spellEnd"/>
      <w:r w:rsidRPr="009F346A">
        <w:rPr>
          <w:sz w:val="28"/>
          <w:szCs w:val="28"/>
        </w:rPr>
        <w:t xml:space="preserve">" </w:t>
      </w:r>
    </w:p>
    <w:p w:rsidR="00836325" w:rsidRPr="009F346A" w:rsidRDefault="00836325" w:rsidP="00836325">
      <w:pPr>
        <w:ind w:left="-709" w:firstLine="567"/>
        <w:jc w:val="both"/>
        <w:rPr>
          <w:sz w:val="28"/>
          <w:szCs w:val="28"/>
        </w:rPr>
      </w:pPr>
      <w:r w:rsidRPr="009F346A">
        <w:rPr>
          <w:sz w:val="28"/>
          <w:szCs w:val="28"/>
        </w:rPr>
        <w:t>В 2017 г. крестьянско-фермерское хозяйство «</w:t>
      </w:r>
      <w:proofErr w:type="spellStart"/>
      <w:r w:rsidRPr="009F346A">
        <w:rPr>
          <w:sz w:val="28"/>
          <w:szCs w:val="28"/>
        </w:rPr>
        <w:t>Мардер</w:t>
      </w:r>
      <w:proofErr w:type="spellEnd"/>
      <w:r w:rsidRPr="009F346A">
        <w:rPr>
          <w:sz w:val="28"/>
          <w:szCs w:val="28"/>
        </w:rPr>
        <w:t>» получили грант в форме субсидии из федерального и окружного бюджетов на развитие семейной фермы проекта «Строительство коровника с привязным содержанием на семьдесят голов», который успешно реализован. На базе КФХ «</w:t>
      </w:r>
      <w:proofErr w:type="spellStart"/>
      <w:r w:rsidRPr="009F346A">
        <w:rPr>
          <w:sz w:val="28"/>
          <w:szCs w:val="28"/>
        </w:rPr>
        <w:t>Мардер</w:t>
      </w:r>
      <w:proofErr w:type="spellEnd"/>
      <w:r w:rsidRPr="009F346A">
        <w:rPr>
          <w:sz w:val="28"/>
          <w:szCs w:val="28"/>
        </w:rPr>
        <w:t xml:space="preserve">» действует новый животноводческий комплекс, цех по переработке молока, в стадии строительства сенохранилище на 100 тонн грубых кормов. Хозяйством за 2020 год произведено и реализовано более 591 тонны молока и молочной продукции и более 389 тонн мяса. </w:t>
      </w:r>
    </w:p>
    <w:p w:rsidR="000D10C2" w:rsidRPr="009F346A" w:rsidRDefault="00836325" w:rsidP="00836325">
      <w:pPr>
        <w:ind w:left="-709" w:firstLine="567"/>
        <w:jc w:val="both"/>
        <w:rPr>
          <w:sz w:val="28"/>
          <w:szCs w:val="28"/>
        </w:rPr>
      </w:pPr>
      <w:r w:rsidRPr="009F346A">
        <w:rPr>
          <w:sz w:val="28"/>
          <w:szCs w:val="28"/>
        </w:rPr>
        <w:t>В 2020 году КФХ «</w:t>
      </w:r>
      <w:proofErr w:type="spellStart"/>
      <w:r w:rsidRPr="009F346A">
        <w:rPr>
          <w:sz w:val="28"/>
          <w:szCs w:val="28"/>
        </w:rPr>
        <w:t>Мардер</w:t>
      </w:r>
      <w:proofErr w:type="spellEnd"/>
      <w:r w:rsidRPr="009F346A">
        <w:rPr>
          <w:sz w:val="28"/>
          <w:szCs w:val="28"/>
        </w:rPr>
        <w:t xml:space="preserve">» оказана государственная поддержка в виде субсидии в размере 23, 8 млн. рублей. </w:t>
      </w:r>
    </w:p>
    <w:p w:rsidR="00836325" w:rsidRPr="009F346A" w:rsidRDefault="00836325" w:rsidP="00836325">
      <w:pPr>
        <w:ind w:firstLine="567"/>
        <w:jc w:val="both"/>
        <w:rPr>
          <w:sz w:val="28"/>
          <w:szCs w:val="28"/>
        </w:rPr>
      </w:pPr>
    </w:p>
    <w:p w:rsidR="00525901" w:rsidRPr="009F346A" w:rsidRDefault="00525901" w:rsidP="006F2323">
      <w:pPr>
        <w:widowControl w:val="0"/>
        <w:autoSpaceDE w:val="0"/>
        <w:autoSpaceDN w:val="0"/>
        <w:adjustRightInd w:val="0"/>
        <w:ind w:left="-720"/>
        <w:jc w:val="center"/>
        <w:outlineLvl w:val="1"/>
        <w:rPr>
          <w:b/>
          <w:i/>
          <w:sz w:val="28"/>
          <w:szCs w:val="28"/>
        </w:rPr>
      </w:pPr>
      <w:r w:rsidRPr="009F346A">
        <w:rPr>
          <w:b/>
          <w:i/>
          <w:sz w:val="28"/>
          <w:szCs w:val="28"/>
        </w:rPr>
        <w:t>Показатель «Доля детей в возрасте 1 - 6 лет, состоящих на учете</w:t>
      </w:r>
    </w:p>
    <w:p w:rsidR="00525901" w:rsidRPr="009F346A" w:rsidRDefault="00525901" w:rsidP="006F2323">
      <w:pPr>
        <w:widowControl w:val="0"/>
        <w:autoSpaceDE w:val="0"/>
        <w:autoSpaceDN w:val="0"/>
        <w:adjustRightInd w:val="0"/>
        <w:ind w:left="-720"/>
        <w:jc w:val="center"/>
        <w:rPr>
          <w:b/>
          <w:i/>
          <w:sz w:val="28"/>
          <w:szCs w:val="28"/>
        </w:rPr>
      </w:pPr>
      <w:r w:rsidRPr="009F346A">
        <w:rPr>
          <w:b/>
          <w:i/>
          <w:sz w:val="28"/>
          <w:szCs w:val="28"/>
        </w:rPr>
        <w:t>для определения в муниципальные дошкольные образовательные</w:t>
      </w:r>
    </w:p>
    <w:p w:rsidR="00E95398" w:rsidRPr="009F346A" w:rsidRDefault="00525901" w:rsidP="006F2323">
      <w:pPr>
        <w:widowControl w:val="0"/>
        <w:autoSpaceDE w:val="0"/>
        <w:autoSpaceDN w:val="0"/>
        <w:adjustRightInd w:val="0"/>
        <w:ind w:left="-720"/>
        <w:jc w:val="center"/>
        <w:rPr>
          <w:rFonts w:ascii="Calibri" w:hAnsi="Calibri" w:cs="Calibri"/>
        </w:rPr>
      </w:pPr>
      <w:r w:rsidRPr="009F346A">
        <w:rPr>
          <w:b/>
          <w:i/>
          <w:sz w:val="28"/>
          <w:szCs w:val="28"/>
        </w:rPr>
        <w:t>учреждения, в общей численности детей в возрасте 1 - 6 лет»</w:t>
      </w:r>
    </w:p>
    <w:p w:rsidR="00525901" w:rsidRPr="009F346A" w:rsidRDefault="00525901" w:rsidP="006F2323">
      <w:pPr>
        <w:shd w:val="clear" w:color="auto" w:fill="FFFFFF"/>
        <w:ind w:left="-720" w:firstLine="709"/>
        <w:jc w:val="both"/>
        <w:rPr>
          <w:sz w:val="28"/>
          <w:szCs w:val="28"/>
        </w:rPr>
      </w:pPr>
      <w:r w:rsidRPr="009F346A">
        <w:rPr>
          <w:sz w:val="28"/>
          <w:szCs w:val="28"/>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за 20</w:t>
      </w:r>
      <w:r w:rsidR="00401823" w:rsidRPr="009F346A">
        <w:rPr>
          <w:sz w:val="28"/>
          <w:szCs w:val="28"/>
        </w:rPr>
        <w:t>20</w:t>
      </w:r>
      <w:r w:rsidRPr="009F346A">
        <w:rPr>
          <w:sz w:val="28"/>
          <w:szCs w:val="28"/>
        </w:rPr>
        <w:t xml:space="preserve"> год составила 0 % (201</w:t>
      </w:r>
      <w:r w:rsidR="00401823" w:rsidRPr="009F346A">
        <w:rPr>
          <w:sz w:val="28"/>
          <w:szCs w:val="28"/>
        </w:rPr>
        <w:t>9</w:t>
      </w:r>
      <w:r w:rsidRPr="009F346A">
        <w:rPr>
          <w:sz w:val="28"/>
          <w:szCs w:val="28"/>
        </w:rPr>
        <w:t xml:space="preserve"> год – 0%).</w:t>
      </w:r>
    </w:p>
    <w:p w:rsidR="00362E9A" w:rsidRPr="009F346A" w:rsidRDefault="00525901" w:rsidP="006F2323">
      <w:pPr>
        <w:ind w:left="-720" w:right="-1" w:firstLine="709"/>
        <w:jc w:val="both"/>
        <w:rPr>
          <w:sz w:val="28"/>
          <w:szCs w:val="28"/>
        </w:rPr>
      </w:pPr>
      <w:r w:rsidRPr="009F346A">
        <w:rPr>
          <w:sz w:val="28"/>
          <w:szCs w:val="28"/>
        </w:rPr>
        <w:t>Дети в возрасте 1-6 лет, стоящие на учете для определения в муниципальные дошкольные образовательные учреждения, на территории района отсутствуют.</w:t>
      </w:r>
    </w:p>
    <w:p w:rsidR="00362E9A" w:rsidRPr="009F346A" w:rsidRDefault="00362E9A" w:rsidP="006F2323">
      <w:pPr>
        <w:ind w:left="-720" w:firstLine="709"/>
        <w:jc w:val="both"/>
        <w:rPr>
          <w:sz w:val="28"/>
          <w:szCs w:val="28"/>
        </w:rPr>
      </w:pPr>
    </w:p>
    <w:p w:rsidR="00362E9A" w:rsidRPr="009F346A" w:rsidRDefault="00362E9A" w:rsidP="006F2323">
      <w:pPr>
        <w:ind w:left="-720" w:firstLine="709"/>
        <w:jc w:val="center"/>
        <w:rPr>
          <w:b/>
          <w:sz w:val="28"/>
          <w:szCs w:val="28"/>
        </w:rPr>
      </w:pPr>
      <w:r w:rsidRPr="009F346A">
        <w:rPr>
          <w:b/>
          <w:i/>
          <w:sz w:val="28"/>
          <w:szCs w:val="28"/>
        </w:rPr>
        <w:t>Показатель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362E9A" w:rsidRPr="009F346A" w:rsidRDefault="00362E9A" w:rsidP="006F2323">
      <w:pPr>
        <w:ind w:left="-720" w:firstLine="709"/>
        <w:jc w:val="both"/>
        <w:rPr>
          <w:sz w:val="28"/>
          <w:szCs w:val="28"/>
        </w:rPr>
      </w:pPr>
      <w:r w:rsidRPr="009F346A">
        <w:rPr>
          <w:sz w:val="28"/>
          <w:szCs w:val="28"/>
        </w:rPr>
        <w:t xml:space="preserve">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1826F9" w:rsidRPr="009F346A">
        <w:rPr>
          <w:sz w:val="28"/>
          <w:szCs w:val="28"/>
        </w:rPr>
        <w:t xml:space="preserve"> </w:t>
      </w:r>
      <w:r w:rsidRPr="009F346A">
        <w:rPr>
          <w:sz w:val="28"/>
          <w:szCs w:val="28"/>
        </w:rPr>
        <w:t>составляет 0% (201</w:t>
      </w:r>
      <w:r w:rsidR="00D261A4" w:rsidRPr="009F346A">
        <w:rPr>
          <w:sz w:val="28"/>
          <w:szCs w:val="28"/>
        </w:rPr>
        <w:t>9</w:t>
      </w:r>
      <w:r w:rsidRPr="009F346A">
        <w:rPr>
          <w:sz w:val="28"/>
          <w:szCs w:val="28"/>
        </w:rPr>
        <w:t xml:space="preserve"> год – 0%). </w:t>
      </w:r>
    </w:p>
    <w:p w:rsidR="0005435A" w:rsidRPr="009F346A" w:rsidRDefault="00362E9A" w:rsidP="006F2323">
      <w:pPr>
        <w:ind w:left="-720" w:firstLine="709"/>
        <w:jc w:val="both"/>
        <w:rPr>
          <w:sz w:val="28"/>
          <w:szCs w:val="28"/>
        </w:rPr>
      </w:pPr>
      <w:r w:rsidRPr="009F346A">
        <w:rPr>
          <w:sz w:val="28"/>
          <w:szCs w:val="28"/>
        </w:rPr>
        <w:t>Муниципальные дошкольные образовательные учреждения, здания которых находятся в аварийном состоянии или требуют капитального ремонта, отсутствуют.</w:t>
      </w:r>
      <w:r w:rsidR="0005435A" w:rsidRPr="009F346A">
        <w:rPr>
          <w:sz w:val="28"/>
          <w:szCs w:val="28"/>
        </w:rPr>
        <w:t xml:space="preserve"> В рамках реализации программы «Развитие образования в Нижневартовском районе» регулярно выполняются капитальные и текущие ремонты учреждений образования в Нижневартовском районе.</w:t>
      </w:r>
    </w:p>
    <w:p w:rsidR="00320859" w:rsidRPr="009F346A" w:rsidRDefault="00320859" w:rsidP="006F2323">
      <w:pPr>
        <w:ind w:left="-720" w:firstLine="709"/>
        <w:jc w:val="both"/>
        <w:rPr>
          <w:sz w:val="28"/>
          <w:szCs w:val="28"/>
        </w:rPr>
      </w:pPr>
    </w:p>
    <w:p w:rsidR="00320859" w:rsidRPr="009F346A" w:rsidRDefault="00320859" w:rsidP="006F2323">
      <w:pPr>
        <w:ind w:left="-720" w:firstLine="709"/>
        <w:jc w:val="center"/>
        <w:rPr>
          <w:b/>
          <w:sz w:val="28"/>
          <w:szCs w:val="28"/>
        </w:rPr>
      </w:pPr>
      <w:r w:rsidRPr="009F346A">
        <w:rPr>
          <w:b/>
          <w:i/>
          <w:sz w:val="28"/>
          <w:szCs w:val="28"/>
        </w:rPr>
        <w:t>Показатель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320859" w:rsidRPr="009F346A" w:rsidRDefault="00320859" w:rsidP="006F2323">
      <w:pPr>
        <w:ind w:left="-720" w:firstLine="709"/>
        <w:jc w:val="both"/>
        <w:rPr>
          <w:sz w:val="28"/>
          <w:szCs w:val="28"/>
        </w:rPr>
      </w:pPr>
      <w:r w:rsidRPr="009F346A">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составляет 0% (201</w:t>
      </w:r>
      <w:r w:rsidR="00B56583" w:rsidRPr="009F346A">
        <w:rPr>
          <w:sz w:val="28"/>
          <w:szCs w:val="28"/>
        </w:rPr>
        <w:t>9</w:t>
      </w:r>
      <w:r w:rsidRPr="009F346A">
        <w:rPr>
          <w:sz w:val="28"/>
          <w:szCs w:val="28"/>
        </w:rPr>
        <w:t xml:space="preserve"> – 0 %). Стабильность показателя сохраняется за счет повышения качества образования, работы с обучающимися по индивидуальным образовательным маршрутам.</w:t>
      </w:r>
    </w:p>
    <w:p w:rsidR="00525901" w:rsidRPr="009F346A" w:rsidRDefault="00525901" w:rsidP="002039BF">
      <w:pPr>
        <w:ind w:left="-720" w:firstLine="709"/>
        <w:jc w:val="both"/>
        <w:rPr>
          <w:sz w:val="28"/>
          <w:szCs w:val="28"/>
        </w:rPr>
      </w:pPr>
      <w:r w:rsidRPr="009F346A">
        <w:rPr>
          <w:sz w:val="28"/>
          <w:szCs w:val="28"/>
        </w:rPr>
        <w:t xml:space="preserve">    </w:t>
      </w:r>
    </w:p>
    <w:p w:rsidR="00525901" w:rsidRPr="009F346A" w:rsidRDefault="00525901" w:rsidP="006F2323">
      <w:pPr>
        <w:ind w:left="-720" w:firstLine="567"/>
        <w:jc w:val="center"/>
        <w:rPr>
          <w:b/>
          <w:i/>
          <w:color w:val="000000"/>
          <w:sz w:val="28"/>
          <w:szCs w:val="28"/>
        </w:rPr>
      </w:pPr>
      <w:r w:rsidRPr="009F346A">
        <w:rPr>
          <w:b/>
          <w:i/>
          <w:sz w:val="28"/>
          <w:szCs w:val="28"/>
        </w:rPr>
        <w:t>Показатель</w:t>
      </w:r>
      <w:r w:rsidRPr="009F346A">
        <w:rPr>
          <w:b/>
          <w:i/>
          <w:color w:val="000000"/>
          <w:sz w:val="20"/>
          <w:szCs w:val="20"/>
        </w:rPr>
        <w:t xml:space="preserve"> </w:t>
      </w:r>
      <w:r w:rsidRPr="009F346A">
        <w:rPr>
          <w:b/>
          <w:i/>
          <w:color w:val="000000"/>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Pr="009F346A">
        <w:rPr>
          <w:b/>
          <w:i/>
          <w:color w:val="000000"/>
          <w:sz w:val="28"/>
          <w:szCs w:val="28"/>
        </w:rPr>
        <w:t>численности</w:t>
      </w:r>
      <w:proofErr w:type="gramEnd"/>
      <w:r w:rsidRPr="009F346A">
        <w:rPr>
          <w:b/>
          <w:i/>
          <w:color w:val="000000"/>
          <w:sz w:val="28"/>
          <w:szCs w:val="28"/>
        </w:rPr>
        <w:t xml:space="preserve"> обучающихся в муниципальных общеобразовательных учреждениях» </w:t>
      </w:r>
    </w:p>
    <w:p w:rsidR="00E140E8" w:rsidRPr="009F346A" w:rsidRDefault="00E140E8" w:rsidP="006F2323">
      <w:pPr>
        <w:ind w:left="-720" w:firstLine="709"/>
        <w:jc w:val="both"/>
        <w:rPr>
          <w:color w:val="000000"/>
          <w:sz w:val="28"/>
          <w:szCs w:val="28"/>
        </w:rPr>
      </w:pPr>
      <w:r w:rsidRPr="009F346A">
        <w:rPr>
          <w:color w:val="000000"/>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Pr="009F346A">
        <w:rPr>
          <w:color w:val="000000"/>
          <w:sz w:val="28"/>
          <w:szCs w:val="28"/>
        </w:rPr>
        <w:t>численности</w:t>
      </w:r>
      <w:proofErr w:type="gramEnd"/>
      <w:r w:rsidRPr="009F346A">
        <w:rPr>
          <w:color w:val="000000"/>
          <w:sz w:val="28"/>
          <w:szCs w:val="28"/>
        </w:rPr>
        <w:t xml:space="preserve"> обучающихся в муниципальных общеобразовательных </w:t>
      </w:r>
      <w:r w:rsidR="00291E28" w:rsidRPr="009F346A">
        <w:rPr>
          <w:color w:val="000000"/>
          <w:sz w:val="28"/>
          <w:szCs w:val="28"/>
        </w:rPr>
        <w:t>учреждениях» составляет 0% (201</w:t>
      </w:r>
      <w:r w:rsidR="0002592E" w:rsidRPr="009F346A">
        <w:rPr>
          <w:color w:val="000000"/>
          <w:sz w:val="28"/>
          <w:szCs w:val="28"/>
        </w:rPr>
        <w:t>9</w:t>
      </w:r>
      <w:r w:rsidRPr="009F346A">
        <w:rPr>
          <w:color w:val="000000"/>
          <w:sz w:val="28"/>
          <w:szCs w:val="28"/>
        </w:rPr>
        <w:t xml:space="preserve"> год – 0%). </w:t>
      </w:r>
    </w:p>
    <w:p w:rsidR="00525901" w:rsidRPr="009F346A" w:rsidRDefault="00525901" w:rsidP="006F2323">
      <w:pPr>
        <w:ind w:left="-720" w:firstLine="720"/>
        <w:jc w:val="both"/>
        <w:rPr>
          <w:color w:val="000000"/>
          <w:sz w:val="28"/>
          <w:szCs w:val="28"/>
        </w:rPr>
      </w:pPr>
      <w:r w:rsidRPr="009F346A">
        <w:rPr>
          <w:color w:val="000000"/>
          <w:sz w:val="28"/>
          <w:szCs w:val="28"/>
        </w:rPr>
        <w:t>В связи с вводом в эксплуатацию нового здания МБОУ "</w:t>
      </w:r>
      <w:proofErr w:type="spellStart"/>
      <w:r w:rsidRPr="009F346A">
        <w:rPr>
          <w:color w:val="000000"/>
          <w:sz w:val="28"/>
          <w:szCs w:val="28"/>
        </w:rPr>
        <w:t>Новоаганская</w:t>
      </w:r>
      <w:proofErr w:type="spellEnd"/>
      <w:r w:rsidRPr="009F346A">
        <w:rPr>
          <w:color w:val="000000"/>
          <w:sz w:val="28"/>
          <w:szCs w:val="28"/>
        </w:rPr>
        <w:t xml:space="preserve"> ОСШ №2" с 2014 года 100% обучающихся в муниципальных общеобразовательных учреждениях района занимаются в первую смену. </w:t>
      </w:r>
    </w:p>
    <w:p w:rsidR="00525901" w:rsidRPr="009F346A" w:rsidRDefault="00525901" w:rsidP="006F2323">
      <w:pPr>
        <w:ind w:left="-720" w:firstLine="567"/>
        <w:jc w:val="both"/>
        <w:rPr>
          <w:b/>
          <w:i/>
          <w:color w:val="000000"/>
          <w:sz w:val="28"/>
          <w:szCs w:val="28"/>
        </w:rPr>
      </w:pPr>
    </w:p>
    <w:p w:rsidR="00320859" w:rsidRPr="009F346A" w:rsidRDefault="00320859" w:rsidP="006F2323">
      <w:pPr>
        <w:ind w:left="-720" w:firstLine="709"/>
        <w:jc w:val="center"/>
        <w:rPr>
          <w:b/>
          <w:sz w:val="28"/>
          <w:szCs w:val="28"/>
        </w:rPr>
      </w:pPr>
      <w:r w:rsidRPr="009F346A">
        <w:rPr>
          <w:b/>
          <w:i/>
          <w:sz w:val="28"/>
          <w:szCs w:val="28"/>
        </w:rPr>
        <w:t>Показатель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320859" w:rsidRPr="009F346A" w:rsidRDefault="00320859" w:rsidP="006F2323">
      <w:pPr>
        <w:ind w:left="-720" w:firstLine="709"/>
        <w:jc w:val="both"/>
        <w:rPr>
          <w:sz w:val="28"/>
          <w:szCs w:val="28"/>
        </w:rPr>
      </w:pPr>
      <w:r w:rsidRPr="009F346A">
        <w:rPr>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0% (201</w:t>
      </w:r>
      <w:r w:rsidR="0002592E" w:rsidRPr="009F346A">
        <w:rPr>
          <w:sz w:val="28"/>
          <w:szCs w:val="28"/>
        </w:rPr>
        <w:t>9</w:t>
      </w:r>
      <w:r w:rsidRPr="009F346A">
        <w:rPr>
          <w:sz w:val="28"/>
          <w:szCs w:val="28"/>
        </w:rPr>
        <w:t xml:space="preserve"> год – 0%). </w:t>
      </w:r>
    </w:p>
    <w:p w:rsidR="00A231E3" w:rsidRPr="009F346A" w:rsidRDefault="00320859" w:rsidP="006F2323">
      <w:pPr>
        <w:ind w:left="-720" w:firstLine="709"/>
        <w:jc w:val="both"/>
        <w:rPr>
          <w:sz w:val="28"/>
          <w:szCs w:val="28"/>
        </w:rPr>
      </w:pPr>
      <w:r w:rsidRPr="009F346A">
        <w:rPr>
          <w:sz w:val="28"/>
          <w:szCs w:val="28"/>
        </w:rPr>
        <w:t xml:space="preserve"> Муниципальные общеобразовательные учреждения, здания которых находятся в аварийном состоянии или требуют капитального ремонта, отсутствуют.</w:t>
      </w:r>
      <w:r w:rsidR="00A231E3" w:rsidRPr="009F346A">
        <w:t xml:space="preserve"> </w:t>
      </w:r>
      <w:r w:rsidR="00A231E3" w:rsidRPr="009F346A">
        <w:rPr>
          <w:sz w:val="28"/>
          <w:szCs w:val="28"/>
        </w:rPr>
        <w:t xml:space="preserve">В рамках реализации программы «Развитие образования в Нижневартовском районе» регулярно выполняются капитальные </w:t>
      </w:r>
      <w:r w:rsidR="000F1CE9" w:rsidRPr="009F346A">
        <w:rPr>
          <w:sz w:val="28"/>
          <w:szCs w:val="28"/>
        </w:rPr>
        <w:t xml:space="preserve">и текущие </w:t>
      </w:r>
      <w:r w:rsidR="00A231E3" w:rsidRPr="009F346A">
        <w:rPr>
          <w:sz w:val="28"/>
          <w:szCs w:val="28"/>
        </w:rPr>
        <w:t xml:space="preserve">ремонты учреждений </w:t>
      </w:r>
      <w:r w:rsidR="000F1CE9" w:rsidRPr="009F346A">
        <w:rPr>
          <w:sz w:val="28"/>
          <w:szCs w:val="28"/>
        </w:rPr>
        <w:t>образования</w:t>
      </w:r>
      <w:r w:rsidR="00A231E3" w:rsidRPr="009F346A">
        <w:rPr>
          <w:sz w:val="28"/>
          <w:szCs w:val="28"/>
        </w:rPr>
        <w:t xml:space="preserve"> в Нижневартовском районе.</w:t>
      </w:r>
    </w:p>
    <w:p w:rsidR="00E178BA" w:rsidRPr="009F346A" w:rsidRDefault="00E178BA" w:rsidP="006F2323">
      <w:pPr>
        <w:ind w:left="-720" w:firstLine="709"/>
        <w:jc w:val="both"/>
        <w:rPr>
          <w:sz w:val="28"/>
          <w:szCs w:val="28"/>
        </w:rPr>
      </w:pPr>
    </w:p>
    <w:p w:rsidR="00A62011" w:rsidRPr="009F346A" w:rsidRDefault="00A62011" w:rsidP="006F2323">
      <w:pPr>
        <w:ind w:left="-720" w:firstLine="284"/>
        <w:jc w:val="center"/>
        <w:rPr>
          <w:b/>
          <w:sz w:val="28"/>
          <w:szCs w:val="28"/>
        </w:rPr>
      </w:pPr>
      <w:r w:rsidRPr="009F346A">
        <w:rPr>
          <w:b/>
          <w:i/>
          <w:sz w:val="28"/>
          <w:szCs w:val="28"/>
        </w:rPr>
        <w:t xml:space="preserve">Показатель «Доля детей первой и второй групп здоровья в общей </w:t>
      </w:r>
      <w:proofErr w:type="gramStart"/>
      <w:r w:rsidRPr="009F346A">
        <w:rPr>
          <w:b/>
          <w:i/>
          <w:sz w:val="28"/>
          <w:szCs w:val="28"/>
        </w:rPr>
        <w:t>численности</w:t>
      </w:r>
      <w:proofErr w:type="gramEnd"/>
      <w:r w:rsidRPr="009F346A">
        <w:rPr>
          <w:b/>
          <w:i/>
          <w:sz w:val="28"/>
          <w:szCs w:val="28"/>
        </w:rPr>
        <w:t xml:space="preserve"> обучающихся в муниципальных общеобразовательных учреждениях»</w:t>
      </w:r>
    </w:p>
    <w:p w:rsidR="009860AE" w:rsidRPr="009F346A" w:rsidRDefault="00D977EC" w:rsidP="006F2323">
      <w:pPr>
        <w:ind w:left="-720" w:firstLine="709"/>
        <w:jc w:val="both"/>
        <w:rPr>
          <w:sz w:val="28"/>
          <w:szCs w:val="28"/>
        </w:rPr>
      </w:pPr>
      <w:r w:rsidRPr="009F346A">
        <w:rPr>
          <w:sz w:val="28"/>
          <w:szCs w:val="28"/>
        </w:rPr>
        <w:t xml:space="preserve">В 2020 году доля детей первой и второй групп здоровья в общей </w:t>
      </w:r>
      <w:proofErr w:type="gramStart"/>
      <w:r w:rsidRPr="009F346A">
        <w:rPr>
          <w:sz w:val="28"/>
          <w:szCs w:val="28"/>
        </w:rPr>
        <w:t>численности</w:t>
      </w:r>
      <w:proofErr w:type="gramEnd"/>
      <w:r w:rsidRPr="009F346A">
        <w:rPr>
          <w:sz w:val="28"/>
          <w:szCs w:val="28"/>
        </w:rPr>
        <w:t xml:space="preserve"> обучающихся в муниципальных общеобразовательных учреждениях района выше среднерегионального показателя 78,8% на 10,8% и составляет 89,6%</w:t>
      </w:r>
      <w:r w:rsidR="007B2BC8" w:rsidRPr="009F346A">
        <w:rPr>
          <w:sz w:val="28"/>
          <w:szCs w:val="28"/>
        </w:rPr>
        <w:t xml:space="preserve">, </w:t>
      </w:r>
      <w:r w:rsidR="00CD1A43" w:rsidRPr="009F346A">
        <w:rPr>
          <w:sz w:val="28"/>
          <w:szCs w:val="28"/>
        </w:rPr>
        <w:t xml:space="preserve">этому </w:t>
      </w:r>
      <w:r w:rsidR="007B2BC8" w:rsidRPr="009F346A">
        <w:rPr>
          <w:sz w:val="28"/>
          <w:szCs w:val="28"/>
        </w:rPr>
        <w:t xml:space="preserve">способствовал комплекс социально-гигиенических, профилактических мероприятий, направленных на сохранение и укрепление здоровья детей и подростков, проводимый совместно учреждениями здравоохранения в образовательных учреждениях района. </w:t>
      </w:r>
      <w:r w:rsidRPr="009F346A">
        <w:rPr>
          <w:sz w:val="28"/>
          <w:szCs w:val="28"/>
        </w:rPr>
        <w:t xml:space="preserve">Департаментом здравоохранения автономного округа при расчете показателя учитывается общая численность детей школьного возраста, проживающих на территории Нижневартовского района, обучающихся в муниципальных общеобразовательных учреждениях. </w:t>
      </w:r>
    </w:p>
    <w:p w:rsidR="007B2BC8" w:rsidRPr="009F346A" w:rsidRDefault="007B2BC8" w:rsidP="006F2323">
      <w:pPr>
        <w:ind w:left="-720" w:firstLine="709"/>
        <w:jc w:val="both"/>
        <w:rPr>
          <w:sz w:val="44"/>
          <w:szCs w:val="44"/>
        </w:rPr>
      </w:pPr>
    </w:p>
    <w:p w:rsidR="00E178BA" w:rsidRPr="009F346A" w:rsidRDefault="00EF60C9" w:rsidP="006F2323">
      <w:pPr>
        <w:ind w:left="-720" w:firstLine="709"/>
        <w:jc w:val="both"/>
        <w:rPr>
          <w:b/>
          <w:i/>
          <w:sz w:val="28"/>
          <w:szCs w:val="28"/>
        </w:rPr>
      </w:pPr>
      <w:r w:rsidRPr="009F346A">
        <w:rPr>
          <w:b/>
          <w:i/>
          <w:sz w:val="28"/>
          <w:szCs w:val="28"/>
        </w:rPr>
        <w:t>Показатель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EF60C9" w:rsidRPr="009F346A" w:rsidRDefault="00EF60C9" w:rsidP="006F2323">
      <w:pPr>
        <w:ind w:left="-720" w:firstLine="709"/>
        <w:jc w:val="both"/>
        <w:rPr>
          <w:b/>
          <w:i/>
          <w:sz w:val="28"/>
          <w:szCs w:val="28"/>
        </w:rPr>
      </w:pPr>
      <w:r w:rsidRPr="009F346A">
        <w:rPr>
          <w:sz w:val="28"/>
          <w:szCs w:val="28"/>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w:t>
      </w:r>
      <w:r w:rsidR="00095B93" w:rsidRPr="009F346A">
        <w:rPr>
          <w:sz w:val="28"/>
          <w:szCs w:val="28"/>
        </w:rPr>
        <w:t xml:space="preserve">в 2020 году составили 294,0 </w:t>
      </w:r>
      <w:proofErr w:type="spellStart"/>
      <w:r w:rsidR="00095B93" w:rsidRPr="009F346A">
        <w:rPr>
          <w:sz w:val="28"/>
          <w:szCs w:val="28"/>
        </w:rPr>
        <w:t>тыс.рублей</w:t>
      </w:r>
      <w:proofErr w:type="spellEnd"/>
      <w:r w:rsidR="00095B93" w:rsidRPr="009F346A">
        <w:rPr>
          <w:sz w:val="28"/>
          <w:szCs w:val="28"/>
        </w:rPr>
        <w:t xml:space="preserve"> </w:t>
      </w:r>
      <w:r w:rsidRPr="009F346A">
        <w:rPr>
          <w:sz w:val="28"/>
          <w:szCs w:val="28"/>
        </w:rPr>
        <w:t>за счет реализации на территории Нижневартовского района муниципальной программы «Развитие образования в Нижневартовском районе»</w:t>
      </w:r>
      <w:r w:rsidR="00095B93" w:rsidRPr="009F346A">
        <w:rPr>
          <w:sz w:val="28"/>
          <w:szCs w:val="28"/>
        </w:rPr>
        <w:t>.</w:t>
      </w:r>
    </w:p>
    <w:p w:rsidR="009860AE" w:rsidRPr="009F346A" w:rsidRDefault="009860AE" w:rsidP="006F2323">
      <w:pPr>
        <w:ind w:left="-720" w:firstLine="709"/>
        <w:jc w:val="both"/>
        <w:rPr>
          <w:b/>
          <w:i/>
          <w:sz w:val="28"/>
          <w:szCs w:val="28"/>
        </w:rPr>
      </w:pPr>
    </w:p>
    <w:p w:rsidR="009860AE" w:rsidRPr="009F346A" w:rsidRDefault="009860AE" w:rsidP="009860AE">
      <w:pPr>
        <w:pStyle w:val="ConsPlusNormal"/>
        <w:ind w:left="-709" w:right="-285" w:firstLine="142"/>
        <w:jc w:val="center"/>
        <w:rPr>
          <w:rFonts w:ascii="Times New Roman" w:hAnsi="Times New Roman" w:cs="Times New Roman"/>
          <w:b/>
          <w:i/>
          <w:sz w:val="28"/>
          <w:szCs w:val="28"/>
        </w:rPr>
      </w:pPr>
      <w:r w:rsidRPr="009F346A">
        <w:rPr>
          <w:rFonts w:ascii="Times New Roman" w:hAnsi="Times New Roman" w:cs="Times New Roman"/>
          <w:b/>
          <w:i/>
          <w:sz w:val="28"/>
          <w:szCs w:val="28"/>
        </w:rPr>
        <w:t>Показатель "Доля детей в возрасте 5 - 18 лет, получающих</w:t>
      </w:r>
    </w:p>
    <w:p w:rsidR="009860AE" w:rsidRPr="009F346A" w:rsidRDefault="009860AE" w:rsidP="009860AE">
      <w:pPr>
        <w:pStyle w:val="ConsPlusNormal"/>
        <w:ind w:left="-709" w:right="-285" w:firstLine="142"/>
        <w:jc w:val="center"/>
        <w:rPr>
          <w:rFonts w:ascii="Times New Roman" w:hAnsi="Times New Roman" w:cs="Times New Roman"/>
          <w:b/>
          <w:i/>
          <w:sz w:val="28"/>
          <w:szCs w:val="28"/>
        </w:rPr>
      </w:pPr>
      <w:r w:rsidRPr="009F346A">
        <w:rPr>
          <w:rFonts w:ascii="Times New Roman" w:hAnsi="Times New Roman" w:cs="Times New Roman"/>
          <w:b/>
          <w:i/>
          <w:sz w:val="28"/>
          <w:szCs w:val="28"/>
        </w:rPr>
        <w:t>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9860AE" w:rsidRPr="009F346A" w:rsidRDefault="00FA6253" w:rsidP="00FA6253">
      <w:pPr>
        <w:pStyle w:val="ConsPlusNormal"/>
        <w:ind w:left="-709" w:right="-285" w:firstLine="142"/>
        <w:jc w:val="both"/>
        <w:rPr>
          <w:b/>
          <w:i/>
          <w:sz w:val="28"/>
          <w:szCs w:val="28"/>
        </w:rPr>
      </w:pPr>
      <w:r w:rsidRPr="009F346A">
        <w:rPr>
          <w:rFonts w:ascii="Times New Roman" w:hAnsi="Times New Roman" w:cs="Times New Roman"/>
          <w:sz w:val="28"/>
          <w:szCs w:val="28"/>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2020 году составила 91% (2019 год – 90,7%). </w:t>
      </w:r>
      <w:r w:rsidR="00095B93" w:rsidRPr="009F346A">
        <w:rPr>
          <w:rFonts w:ascii="Times New Roman" w:hAnsi="Times New Roman" w:cs="Times New Roman"/>
          <w:sz w:val="28"/>
          <w:szCs w:val="28"/>
        </w:rPr>
        <w:t>Увеличение доли охвата детей объясняется повышением эффективности использования имеющихся ресурсов учреждений дополнительного образования.</w:t>
      </w:r>
    </w:p>
    <w:p w:rsidR="00EF60C9" w:rsidRPr="009F346A" w:rsidRDefault="00EF60C9" w:rsidP="006F2323">
      <w:pPr>
        <w:ind w:left="-720" w:firstLine="709"/>
        <w:jc w:val="both"/>
        <w:rPr>
          <w:b/>
          <w:i/>
          <w:sz w:val="28"/>
          <w:szCs w:val="28"/>
        </w:rPr>
      </w:pPr>
    </w:p>
    <w:p w:rsidR="00F44851" w:rsidRPr="009F346A" w:rsidRDefault="00F44851" w:rsidP="006F2323">
      <w:pPr>
        <w:ind w:left="-720" w:firstLine="709"/>
        <w:jc w:val="center"/>
        <w:rPr>
          <w:b/>
          <w:i/>
          <w:sz w:val="28"/>
          <w:szCs w:val="28"/>
        </w:rPr>
      </w:pPr>
      <w:r w:rsidRPr="009F346A">
        <w:rPr>
          <w:b/>
          <w:i/>
          <w:sz w:val="28"/>
          <w:szCs w:val="28"/>
        </w:rPr>
        <w:t>Показатель «Доля муниципальных учреждений культуры, здания которых находятся в аварийном состоянии или требуют капитального ремонта, в общем числе муниципальных учреждений культуры»</w:t>
      </w:r>
    </w:p>
    <w:p w:rsidR="00F44851" w:rsidRPr="009F346A" w:rsidRDefault="00F44851" w:rsidP="009146F7">
      <w:pPr>
        <w:ind w:left="-720" w:firstLine="709"/>
        <w:jc w:val="both"/>
        <w:rPr>
          <w:sz w:val="28"/>
          <w:szCs w:val="28"/>
        </w:rPr>
      </w:pPr>
      <w:r w:rsidRPr="009F346A">
        <w:rPr>
          <w:sz w:val="28"/>
          <w:szCs w:val="28"/>
        </w:rPr>
        <w:t xml:space="preserve"> Доля муниципальных учреждений культуры, здания которых находятся в аварийном состоянии или требуют капитального ремонта, в общем числе муниципальных учреждений культуры, составляет 0% (201</w:t>
      </w:r>
      <w:r w:rsidR="009146F7" w:rsidRPr="009F346A">
        <w:rPr>
          <w:sz w:val="28"/>
          <w:szCs w:val="28"/>
        </w:rPr>
        <w:t>9</w:t>
      </w:r>
      <w:r w:rsidRPr="009F346A">
        <w:rPr>
          <w:sz w:val="28"/>
          <w:szCs w:val="28"/>
        </w:rPr>
        <w:t xml:space="preserve"> год – 0%). </w:t>
      </w:r>
    </w:p>
    <w:p w:rsidR="00F44851" w:rsidRPr="009F346A" w:rsidRDefault="00F44851" w:rsidP="006F2323">
      <w:pPr>
        <w:ind w:left="-720" w:firstLine="709"/>
        <w:jc w:val="both"/>
        <w:rPr>
          <w:sz w:val="28"/>
          <w:szCs w:val="28"/>
        </w:rPr>
      </w:pPr>
      <w:r w:rsidRPr="009F346A">
        <w:rPr>
          <w:sz w:val="28"/>
          <w:szCs w:val="28"/>
        </w:rPr>
        <w:t>Муниципальные учреждения культуры, здания которых находятся в аварийном состоянии или требуют капитального ремонта, отсутствуют. В рамках реализации программы «</w:t>
      </w:r>
      <w:r w:rsidR="002F6DB1" w:rsidRPr="009F346A">
        <w:rPr>
          <w:sz w:val="28"/>
          <w:szCs w:val="28"/>
        </w:rPr>
        <w:t xml:space="preserve">Культурное пространство </w:t>
      </w:r>
      <w:r w:rsidRPr="009F346A">
        <w:rPr>
          <w:sz w:val="28"/>
          <w:szCs w:val="28"/>
        </w:rPr>
        <w:t>Нижневартовско</w:t>
      </w:r>
      <w:r w:rsidR="002F6DB1" w:rsidRPr="009F346A">
        <w:rPr>
          <w:sz w:val="28"/>
          <w:szCs w:val="28"/>
        </w:rPr>
        <w:t>го района</w:t>
      </w:r>
      <w:r w:rsidRPr="009F346A">
        <w:rPr>
          <w:sz w:val="28"/>
          <w:szCs w:val="28"/>
        </w:rPr>
        <w:t xml:space="preserve">» регулярно выполняются капитальные </w:t>
      </w:r>
      <w:r w:rsidR="00163407" w:rsidRPr="009F346A">
        <w:rPr>
          <w:sz w:val="28"/>
          <w:szCs w:val="28"/>
        </w:rPr>
        <w:t xml:space="preserve">и текущие </w:t>
      </w:r>
      <w:r w:rsidRPr="009F346A">
        <w:rPr>
          <w:sz w:val="28"/>
          <w:szCs w:val="28"/>
        </w:rPr>
        <w:t>ремонты учреждений культуры в Нижневартовском районе.</w:t>
      </w:r>
    </w:p>
    <w:p w:rsidR="00F84487" w:rsidRPr="009F346A" w:rsidRDefault="00F84487" w:rsidP="00F84487">
      <w:pPr>
        <w:pStyle w:val="ConsPlusNormal"/>
        <w:jc w:val="center"/>
        <w:rPr>
          <w:rFonts w:ascii="Times New Roman" w:hAnsi="Times New Roman" w:cs="Times New Roman"/>
          <w:b/>
          <w:i/>
          <w:sz w:val="28"/>
          <w:szCs w:val="28"/>
        </w:rPr>
      </w:pPr>
    </w:p>
    <w:p w:rsidR="00F84487" w:rsidRPr="009F346A" w:rsidRDefault="00F84487" w:rsidP="00F84487">
      <w:pPr>
        <w:pStyle w:val="ConsPlusNormal"/>
        <w:ind w:hanging="709"/>
        <w:jc w:val="center"/>
        <w:rPr>
          <w:rFonts w:ascii="Times New Roman" w:hAnsi="Times New Roman" w:cs="Times New Roman"/>
          <w:b/>
          <w:i/>
          <w:sz w:val="28"/>
          <w:szCs w:val="28"/>
        </w:rPr>
      </w:pPr>
      <w:r w:rsidRPr="009F346A">
        <w:rPr>
          <w:rFonts w:ascii="Times New Roman" w:hAnsi="Times New Roman" w:cs="Times New Roman"/>
          <w:b/>
          <w:i/>
          <w:sz w:val="28"/>
          <w:szCs w:val="28"/>
        </w:rPr>
        <w:t>Показатель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F84487" w:rsidRPr="009F346A" w:rsidRDefault="00C23856" w:rsidP="006F2323">
      <w:pPr>
        <w:ind w:left="-720" w:firstLine="709"/>
        <w:jc w:val="both"/>
        <w:rPr>
          <w:sz w:val="28"/>
          <w:szCs w:val="28"/>
        </w:rPr>
      </w:pPr>
      <w:r w:rsidRPr="009F346A">
        <w:rPr>
          <w:sz w:val="28"/>
          <w:szCs w:val="28"/>
        </w:rPr>
        <w:t xml:space="preserve">Объекты культурного наследия, находящиеся в муниципальной собственности и требующие консервации или реставрации, в общем количестве объектов культурного наследия, находящихся в муниципальной собственности отсутствуют. В районе два объекта культурного наследия регионального значения: "Дом купца </w:t>
      </w:r>
      <w:proofErr w:type="spellStart"/>
      <w:r w:rsidRPr="009F346A">
        <w:rPr>
          <w:sz w:val="28"/>
          <w:szCs w:val="28"/>
        </w:rPr>
        <w:t>Кайдалова</w:t>
      </w:r>
      <w:proofErr w:type="spellEnd"/>
      <w:r w:rsidRPr="009F346A">
        <w:rPr>
          <w:sz w:val="28"/>
          <w:szCs w:val="28"/>
        </w:rPr>
        <w:t xml:space="preserve">" в </w:t>
      </w:r>
      <w:proofErr w:type="spellStart"/>
      <w:r w:rsidRPr="009F346A">
        <w:rPr>
          <w:sz w:val="28"/>
          <w:szCs w:val="28"/>
        </w:rPr>
        <w:t>с.Ларьяк</w:t>
      </w:r>
      <w:proofErr w:type="spellEnd"/>
      <w:r w:rsidRPr="009F346A">
        <w:rPr>
          <w:sz w:val="28"/>
          <w:szCs w:val="28"/>
        </w:rPr>
        <w:t xml:space="preserve"> и памятник "Братская могила Зырянова А.Л. и его бойцов" в </w:t>
      </w:r>
      <w:proofErr w:type="spellStart"/>
      <w:r w:rsidRPr="009F346A">
        <w:rPr>
          <w:sz w:val="28"/>
          <w:szCs w:val="28"/>
        </w:rPr>
        <w:t>д.Вампугол</w:t>
      </w:r>
      <w:proofErr w:type="spellEnd"/>
      <w:r w:rsidRPr="009F346A">
        <w:rPr>
          <w:sz w:val="28"/>
          <w:szCs w:val="28"/>
        </w:rPr>
        <w:t xml:space="preserve">. </w:t>
      </w:r>
    </w:p>
    <w:p w:rsidR="00F84487" w:rsidRPr="009F346A" w:rsidRDefault="00F84487" w:rsidP="006F2323">
      <w:pPr>
        <w:ind w:left="-720" w:firstLine="709"/>
        <w:jc w:val="both"/>
        <w:rPr>
          <w:b/>
          <w:i/>
          <w:sz w:val="28"/>
          <w:szCs w:val="28"/>
        </w:rPr>
      </w:pPr>
    </w:p>
    <w:p w:rsidR="00A348FB" w:rsidRPr="009F346A" w:rsidRDefault="00A348FB" w:rsidP="006F2323">
      <w:pPr>
        <w:ind w:left="-720" w:firstLine="709"/>
        <w:jc w:val="center"/>
        <w:rPr>
          <w:b/>
          <w:i/>
          <w:sz w:val="28"/>
          <w:szCs w:val="28"/>
        </w:rPr>
      </w:pPr>
      <w:r w:rsidRPr="009F346A">
        <w:rPr>
          <w:b/>
          <w:i/>
          <w:sz w:val="28"/>
          <w:szCs w:val="28"/>
        </w:rPr>
        <w:t>Показател</w:t>
      </w:r>
      <w:r w:rsidR="007D3C97" w:rsidRPr="009F346A">
        <w:rPr>
          <w:b/>
          <w:i/>
          <w:sz w:val="28"/>
          <w:szCs w:val="28"/>
        </w:rPr>
        <w:t>ь</w:t>
      </w:r>
      <w:r w:rsidRPr="009F346A">
        <w:rPr>
          <w:b/>
          <w:i/>
          <w:sz w:val="28"/>
          <w:szCs w:val="28"/>
        </w:rPr>
        <w:t xml:space="preserve"> «Доля населения, систематически занимающегося физической культурой и спортом</w:t>
      </w:r>
      <w:r w:rsidR="007D3C97" w:rsidRPr="009F346A">
        <w:rPr>
          <w:b/>
          <w:i/>
          <w:sz w:val="28"/>
          <w:szCs w:val="28"/>
        </w:rPr>
        <w:t>»</w:t>
      </w:r>
    </w:p>
    <w:p w:rsidR="00FA6253" w:rsidRPr="009F346A" w:rsidRDefault="00A348FB" w:rsidP="00FA6253">
      <w:pPr>
        <w:ind w:left="-720" w:firstLine="708"/>
        <w:jc w:val="both"/>
        <w:rPr>
          <w:sz w:val="28"/>
          <w:szCs w:val="28"/>
        </w:rPr>
      </w:pPr>
      <w:r w:rsidRPr="009F346A">
        <w:rPr>
          <w:sz w:val="28"/>
          <w:szCs w:val="28"/>
        </w:rPr>
        <w:t>В 20</w:t>
      </w:r>
      <w:r w:rsidR="00FA6253" w:rsidRPr="009F346A">
        <w:rPr>
          <w:sz w:val="28"/>
          <w:szCs w:val="28"/>
        </w:rPr>
        <w:t>20</w:t>
      </w:r>
      <w:r w:rsidRPr="009F346A">
        <w:rPr>
          <w:sz w:val="28"/>
          <w:szCs w:val="28"/>
        </w:rPr>
        <w:t xml:space="preserve"> году</w:t>
      </w:r>
      <w:r w:rsidR="006C4EA3" w:rsidRPr="009F346A">
        <w:rPr>
          <w:sz w:val="28"/>
          <w:szCs w:val="28"/>
        </w:rPr>
        <w:t xml:space="preserve"> «Доля населения, систематически занимающегося физической культурой и спортом» составила </w:t>
      </w:r>
      <w:r w:rsidR="00FA6253" w:rsidRPr="009F346A">
        <w:rPr>
          <w:sz w:val="28"/>
          <w:szCs w:val="28"/>
        </w:rPr>
        <w:t>55,7</w:t>
      </w:r>
      <w:r w:rsidR="006C4EA3" w:rsidRPr="009F346A">
        <w:rPr>
          <w:sz w:val="28"/>
          <w:szCs w:val="28"/>
        </w:rPr>
        <w:t>% (201</w:t>
      </w:r>
      <w:r w:rsidR="000772EC" w:rsidRPr="009F346A">
        <w:rPr>
          <w:sz w:val="28"/>
          <w:szCs w:val="28"/>
        </w:rPr>
        <w:t>8</w:t>
      </w:r>
      <w:r w:rsidR="006C4EA3" w:rsidRPr="009F346A">
        <w:rPr>
          <w:sz w:val="28"/>
          <w:szCs w:val="28"/>
        </w:rPr>
        <w:t xml:space="preserve"> год – </w:t>
      </w:r>
      <w:r w:rsidR="00FA6253" w:rsidRPr="009F346A">
        <w:rPr>
          <w:sz w:val="28"/>
          <w:szCs w:val="28"/>
        </w:rPr>
        <w:t>53,1</w:t>
      </w:r>
      <w:r w:rsidR="007D3C97" w:rsidRPr="009F346A">
        <w:rPr>
          <w:sz w:val="28"/>
          <w:szCs w:val="28"/>
        </w:rPr>
        <w:t xml:space="preserve">%). </w:t>
      </w:r>
    </w:p>
    <w:p w:rsidR="00FA6253" w:rsidRPr="009F346A" w:rsidRDefault="00FA6253" w:rsidP="00FA6253">
      <w:pPr>
        <w:tabs>
          <w:tab w:val="left" w:pos="0"/>
        </w:tabs>
        <w:ind w:left="-709"/>
        <w:jc w:val="both"/>
        <w:rPr>
          <w:sz w:val="28"/>
          <w:szCs w:val="28"/>
        </w:rPr>
      </w:pPr>
      <w:r w:rsidRPr="009F346A">
        <w:rPr>
          <w:sz w:val="28"/>
          <w:szCs w:val="28"/>
        </w:rPr>
        <w:tab/>
        <w:t>Увеличение численности занимающихся связано с увеличением количества спортивных объектов (на 1 единицу), увеличением эффективности использования имеющихся объектов в поселениях района, увеличением занимающихся на частных базах «</w:t>
      </w:r>
      <w:proofErr w:type="spellStart"/>
      <w:r w:rsidRPr="009F346A">
        <w:rPr>
          <w:sz w:val="28"/>
          <w:szCs w:val="28"/>
        </w:rPr>
        <w:t>Трехгорье</w:t>
      </w:r>
      <w:proofErr w:type="spellEnd"/>
      <w:r w:rsidRPr="009F346A">
        <w:rPr>
          <w:sz w:val="28"/>
          <w:szCs w:val="28"/>
        </w:rPr>
        <w:t>» и «</w:t>
      </w:r>
      <w:proofErr w:type="spellStart"/>
      <w:r w:rsidRPr="009F346A">
        <w:rPr>
          <w:sz w:val="28"/>
          <w:szCs w:val="28"/>
        </w:rPr>
        <w:t>Татра</w:t>
      </w:r>
      <w:proofErr w:type="spellEnd"/>
      <w:r w:rsidRPr="009F346A">
        <w:rPr>
          <w:sz w:val="28"/>
          <w:szCs w:val="28"/>
        </w:rPr>
        <w:t xml:space="preserve">», проведением массовых физкультурных мероприятий направленных на привлечение населения к занятиям физической культурой и спортом, введением производственной гимнастики, созданием спортивных клубов в поселениях района, организацией тренировок по выполнению ВФСК «ГТО». </w:t>
      </w:r>
    </w:p>
    <w:p w:rsidR="00FA6253" w:rsidRPr="009F346A" w:rsidRDefault="00FA6253" w:rsidP="00A7167A">
      <w:pPr>
        <w:tabs>
          <w:tab w:val="left" w:pos="0"/>
          <w:tab w:val="left" w:pos="763"/>
          <w:tab w:val="left" w:pos="9592"/>
        </w:tabs>
        <w:ind w:left="-709" w:right="47" w:firstLine="709"/>
        <w:jc w:val="both"/>
        <w:rPr>
          <w:sz w:val="28"/>
          <w:szCs w:val="28"/>
        </w:rPr>
      </w:pPr>
      <w:r w:rsidRPr="009F346A">
        <w:rPr>
          <w:sz w:val="28"/>
          <w:szCs w:val="28"/>
        </w:rPr>
        <w:t>В 2020 году на территории района реализовано 109</w:t>
      </w:r>
      <w:r w:rsidRPr="009F346A">
        <w:rPr>
          <w:rFonts w:eastAsia="Arial"/>
          <w:sz w:val="28"/>
          <w:szCs w:val="28"/>
        </w:rPr>
        <w:t xml:space="preserve"> физкультурно-спортивных мероприяти</w:t>
      </w:r>
      <w:r w:rsidR="00A7167A" w:rsidRPr="009F346A">
        <w:rPr>
          <w:rFonts w:eastAsia="Arial"/>
          <w:sz w:val="28"/>
          <w:szCs w:val="28"/>
        </w:rPr>
        <w:t>й</w:t>
      </w:r>
      <w:r w:rsidRPr="009F346A">
        <w:rPr>
          <w:rFonts w:eastAsia="Arial"/>
          <w:sz w:val="28"/>
          <w:szCs w:val="28"/>
        </w:rPr>
        <w:t>, в том числе в онлайн режиме, в которых приняли участие, в том числе дистанционно, более 12000 человек.</w:t>
      </w:r>
      <w:r w:rsidRPr="009F346A">
        <w:rPr>
          <w:sz w:val="28"/>
          <w:szCs w:val="28"/>
        </w:rPr>
        <w:t xml:space="preserve"> </w:t>
      </w:r>
    </w:p>
    <w:p w:rsidR="00FA6253" w:rsidRPr="009F346A" w:rsidRDefault="00FA6253" w:rsidP="00FA6253">
      <w:pPr>
        <w:tabs>
          <w:tab w:val="left" w:pos="0"/>
        </w:tabs>
        <w:ind w:left="-709"/>
        <w:jc w:val="both"/>
        <w:rPr>
          <w:sz w:val="28"/>
          <w:szCs w:val="28"/>
        </w:rPr>
      </w:pPr>
      <w:r w:rsidRPr="009F346A">
        <w:rPr>
          <w:sz w:val="28"/>
          <w:szCs w:val="28"/>
        </w:rPr>
        <w:tab/>
        <w:t>ООО «</w:t>
      </w:r>
      <w:proofErr w:type="spellStart"/>
      <w:r w:rsidRPr="009F346A">
        <w:rPr>
          <w:sz w:val="28"/>
          <w:szCs w:val="28"/>
        </w:rPr>
        <w:t>Трехгорье</w:t>
      </w:r>
      <w:proofErr w:type="spellEnd"/>
      <w:r w:rsidRPr="009F346A">
        <w:rPr>
          <w:sz w:val="28"/>
          <w:szCs w:val="28"/>
        </w:rPr>
        <w:t>» предоставляет платные услуги по прокату горнолыжного, лыжного инвентаря, коньков, стендовой стрельбе из гладкоствольного оружия.  На базе имеется подъемник для горнолыжников, высота склона составляет около 300 метров. Спортивная база «</w:t>
      </w:r>
      <w:proofErr w:type="spellStart"/>
      <w:r w:rsidRPr="009F346A">
        <w:rPr>
          <w:sz w:val="28"/>
          <w:szCs w:val="28"/>
        </w:rPr>
        <w:t>Татра</w:t>
      </w:r>
      <w:proofErr w:type="spellEnd"/>
      <w:r w:rsidRPr="009F346A">
        <w:rPr>
          <w:sz w:val="28"/>
          <w:szCs w:val="28"/>
        </w:rPr>
        <w:t xml:space="preserve">» предоставляет услуги для занятий лыжными гонками, занятиям мини - футболом, волейболом, </w:t>
      </w:r>
      <w:proofErr w:type="spellStart"/>
      <w:r w:rsidRPr="009F346A">
        <w:rPr>
          <w:sz w:val="28"/>
          <w:szCs w:val="28"/>
        </w:rPr>
        <w:t>ститболом</w:t>
      </w:r>
      <w:proofErr w:type="spellEnd"/>
      <w:r w:rsidRPr="009F346A">
        <w:rPr>
          <w:sz w:val="28"/>
          <w:szCs w:val="28"/>
        </w:rPr>
        <w:t xml:space="preserve"> на улице, аренда гостиничных домиков. Услугами ООО «</w:t>
      </w:r>
      <w:proofErr w:type="spellStart"/>
      <w:r w:rsidRPr="009F346A">
        <w:rPr>
          <w:sz w:val="28"/>
          <w:szCs w:val="28"/>
        </w:rPr>
        <w:t>Трехгорье</w:t>
      </w:r>
      <w:proofErr w:type="spellEnd"/>
      <w:r w:rsidRPr="009F346A">
        <w:rPr>
          <w:sz w:val="28"/>
          <w:szCs w:val="28"/>
        </w:rPr>
        <w:t>» и «</w:t>
      </w:r>
      <w:proofErr w:type="spellStart"/>
      <w:r w:rsidRPr="009F346A">
        <w:rPr>
          <w:sz w:val="28"/>
          <w:szCs w:val="28"/>
        </w:rPr>
        <w:t>Татра</w:t>
      </w:r>
      <w:proofErr w:type="spellEnd"/>
      <w:r w:rsidRPr="009F346A">
        <w:rPr>
          <w:sz w:val="28"/>
          <w:szCs w:val="28"/>
        </w:rPr>
        <w:t xml:space="preserve">» пользуются жители района, г. Нижневартовск и других территорий. </w:t>
      </w:r>
    </w:p>
    <w:p w:rsidR="000772EC" w:rsidRPr="009F346A" w:rsidRDefault="000772EC" w:rsidP="006F2323">
      <w:pPr>
        <w:ind w:left="-720"/>
        <w:jc w:val="both"/>
        <w:rPr>
          <w:color w:val="000000"/>
          <w:sz w:val="22"/>
          <w:szCs w:val="22"/>
        </w:rPr>
      </w:pPr>
    </w:p>
    <w:p w:rsidR="007D3C97" w:rsidRPr="009F346A" w:rsidRDefault="007D3C97" w:rsidP="006F2323">
      <w:pPr>
        <w:ind w:left="-720" w:firstLine="709"/>
        <w:jc w:val="center"/>
        <w:rPr>
          <w:b/>
          <w:i/>
          <w:sz w:val="28"/>
          <w:szCs w:val="28"/>
        </w:rPr>
      </w:pPr>
      <w:r w:rsidRPr="009F346A">
        <w:rPr>
          <w:b/>
          <w:i/>
          <w:sz w:val="28"/>
          <w:szCs w:val="28"/>
        </w:rPr>
        <w:t>Показатель «Доля обучающихся, систематически занимающихся физической культурой и спортом, в общей численности обучающихся»</w:t>
      </w:r>
    </w:p>
    <w:p w:rsidR="00232CF3" w:rsidRPr="009F346A" w:rsidRDefault="007D3C97" w:rsidP="00232CF3">
      <w:pPr>
        <w:ind w:left="-709" w:firstLine="709"/>
        <w:jc w:val="both"/>
        <w:rPr>
          <w:sz w:val="28"/>
          <w:szCs w:val="28"/>
        </w:rPr>
      </w:pPr>
      <w:r w:rsidRPr="009F346A">
        <w:rPr>
          <w:sz w:val="28"/>
          <w:szCs w:val="28"/>
        </w:rPr>
        <w:t>В 20</w:t>
      </w:r>
      <w:r w:rsidR="00232CF3" w:rsidRPr="009F346A">
        <w:rPr>
          <w:sz w:val="28"/>
          <w:szCs w:val="28"/>
        </w:rPr>
        <w:t>20</w:t>
      </w:r>
      <w:r w:rsidRPr="009F346A">
        <w:rPr>
          <w:sz w:val="28"/>
          <w:szCs w:val="28"/>
        </w:rPr>
        <w:t xml:space="preserve"> году «Доля обучающихся, систематически занимающихся физической культурой и спортом, в общей численности обучающихся» составила 97,</w:t>
      </w:r>
      <w:r w:rsidR="00232CF3" w:rsidRPr="009F346A">
        <w:rPr>
          <w:sz w:val="28"/>
          <w:szCs w:val="28"/>
        </w:rPr>
        <w:t>5</w:t>
      </w:r>
      <w:r w:rsidRPr="009F346A">
        <w:rPr>
          <w:sz w:val="28"/>
          <w:szCs w:val="28"/>
        </w:rPr>
        <w:t>% (201</w:t>
      </w:r>
      <w:r w:rsidR="00232CF3" w:rsidRPr="009F346A">
        <w:rPr>
          <w:sz w:val="28"/>
          <w:szCs w:val="28"/>
        </w:rPr>
        <w:t>9</w:t>
      </w:r>
      <w:r w:rsidRPr="009F346A">
        <w:rPr>
          <w:sz w:val="28"/>
          <w:szCs w:val="28"/>
        </w:rPr>
        <w:t xml:space="preserve"> год – </w:t>
      </w:r>
      <w:r w:rsidR="00232CF3" w:rsidRPr="009F346A">
        <w:rPr>
          <w:sz w:val="28"/>
          <w:szCs w:val="28"/>
        </w:rPr>
        <w:t>97,2</w:t>
      </w:r>
      <w:r w:rsidRPr="009F346A">
        <w:rPr>
          <w:sz w:val="28"/>
          <w:szCs w:val="28"/>
        </w:rPr>
        <w:t xml:space="preserve">%). </w:t>
      </w:r>
    </w:p>
    <w:p w:rsidR="00232CF3" w:rsidRPr="009F346A" w:rsidRDefault="00232CF3" w:rsidP="00232CF3">
      <w:pPr>
        <w:tabs>
          <w:tab w:val="left" w:pos="709"/>
        </w:tabs>
        <w:ind w:left="-709" w:firstLine="709"/>
        <w:jc w:val="both"/>
        <w:rPr>
          <w:sz w:val="28"/>
          <w:szCs w:val="28"/>
        </w:rPr>
      </w:pPr>
      <w:r w:rsidRPr="009F346A">
        <w:rPr>
          <w:sz w:val="28"/>
          <w:szCs w:val="28"/>
        </w:rPr>
        <w:t xml:space="preserve">В образовательных учреждениях района </w:t>
      </w:r>
      <w:r w:rsidR="00BD43C3" w:rsidRPr="009F346A">
        <w:rPr>
          <w:sz w:val="28"/>
          <w:szCs w:val="28"/>
        </w:rPr>
        <w:t xml:space="preserve">в </w:t>
      </w:r>
      <w:r w:rsidRPr="009F346A">
        <w:rPr>
          <w:sz w:val="28"/>
          <w:szCs w:val="28"/>
        </w:rPr>
        <w:t>режиме кружковой, секционной работы проводятся занятия по различным видам спорта</w:t>
      </w:r>
      <w:r w:rsidR="00BD43C3" w:rsidRPr="009F346A">
        <w:rPr>
          <w:sz w:val="28"/>
          <w:szCs w:val="28"/>
        </w:rPr>
        <w:t xml:space="preserve">, </w:t>
      </w:r>
      <w:r w:rsidRPr="009F346A">
        <w:rPr>
          <w:sz w:val="28"/>
          <w:szCs w:val="28"/>
        </w:rPr>
        <w:t>спартакиады школ</w:t>
      </w:r>
      <w:r w:rsidR="00BD43C3" w:rsidRPr="009F346A">
        <w:rPr>
          <w:sz w:val="28"/>
          <w:szCs w:val="28"/>
        </w:rPr>
        <w:t>, р</w:t>
      </w:r>
      <w:r w:rsidRPr="009F346A">
        <w:rPr>
          <w:sz w:val="28"/>
          <w:szCs w:val="28"/>
        </w:rPr>
        <w:t>аботает 16 спортивных клубов. В общеобразовательных учреждениях реализуется проект «Школа - территория здоровья». Реализация данного проекта позволила ввести физкультурные минутки на каждом уроке.</w:t>
      </w:r>
    </w:p>
    <w:p w:rsidR="00232CF3" w:rsidRPr="009F346A" w:rsidRDefault="00232CF3" w:rsidP="006F2323">
      <w:pPr>
        <w:ind w:left="-720" w:firstLine="567"/>
        <w:jc w:val="center"/>
        <w:rPr>
          <w:b/>
          <w:i/>
          <w:sz w:val="28"/>
          <w:szCs w:val="28"/>
        </w:rPr>
      </w:pPr>
    </w:p>
    <w:p w:rsidR="00BD73C3" w:rsidRPr="009F346A" w:rsidRDefault="00BD73C3" w:rsidP="006F2323">
      <w:pPr>
        <w:ind w:left="-720" w:firstLine="567"/>
        <w:jc w:val="center"/>
        <w:rPr>
          <w:b/>
          <w:i/>
          <w:color w:val="000000"/>
          <w:sz w:val="28"/>
          <w:szCs w:val="28"/>
        </w:rPr>
      </w:pPr>
      <w:r w:rsidRPr="009F346A">
        <w:rPr>
          <w:b/>
          <w:i/>
          <w:sz w:val="28"/>
          <w:szCs w:val="28"/>
        </w:rPr>
        <w:t xml:space="preserve">Показатель </w:t>
      </w:r>
      <w:r w:rsidRPr="009F346A">
        <w:rPr>
          <w:b/>
          <w:i/>
          <w:color w:val="000000"/>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B25CAC" w:rsidRPr="009F346A" w:rsidRDefault="00B25CAC" w:rsidP="006F2323">
      <w:pPr>
        <w:ind w:left="-720" w:firstLine="567"/>
        <w:jc w:val="center"/>
        <w:rPr>
          <w:b/>
          <w:i/>
          <w:color w:val="000000"/>
          <w:sz w:val="28"/>
          <w:szCs w:val="28"/>
        </w:rPr>
      </w:pPr>
    </w:p>
    <w:p w:rsidR="00BD73C3" w:rsidRPr="009F346A" w:rsidRDefault="00BD73C3" w:rsidP="006F2323">
      <w:pPr>
        <w:ind w:left="-720" w:firstLine="567"/>
        <w:jc w:val="both"/>
        <w:rPr>
          <w:color w:val="000000"/>
          <w:sz w:val="28"/>
          <w:szCs w:val="28"/>
        </w:rPr>
      </w:pPr>
      <w:r w:rsidRPr="009F346A">
        <w:rPr>
          <w:color w:val="000000"/>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Нижневартовского района составила 85,7%. </w:t>
      </w:r>
    </w:p>
    <w:p w:rsidR="00BD73C3" w:rsidRPr="009F346A" w:rsidRDefault="00BD73C3" w:rsidP="006F2323">
      <w:pPr>
        <w:pStyle w:val="1"/>
        <w:spacing w:before="0" w:line="240" w:lineRule="auto"/>
        <w:ind w:left="-720" w:firstLine="567"/>
        <w:jc w:val="both"/>
        <w:rPr>
          <w:rFonts w:ascii="Times New Roman" w:hAnsi="Times New Roman" w:cs="Times New Roman"/>
          <w:color w:val="auto"/>
          <w:sz w:val="28"/>
          <w:szCs w:val="28"/>
        </w:rPr>
      </w:pPr>
      <w:r w:rsidRPr="009F346A">
        <w:rPr>
          <w:rFonts w:ascii="Times New Roman" w:hAnsi="Times New Roman" w:cs="Times New Roman"/>
          <w:color w:val="000000"/>
          <w:sz w:val="28"/>
          <w:szCs w:val="28"/>
        </w:rPr>
        <w:t>На территории района осуществляют свою деятельность 7 организаций коммунального комплекса. Из них 6 организаций коммунального комплекса частной формы собственности, участие муниципального образования в уставном капитале которых составляет не более 25%.</w:t>
      </w:r>
    </w:p>
    <w:p w:rsidR="00BD73C3" w:rsidRPr="009F346A" w:rsidRDefault="00BD73C3" w:rsidP="006F2323">
      <w:pPr>
        <w:ind w:left="-720" w:firstLine="709"/>
        <w:jc w:val="center"/>
        <w:rPr>
          <w:b/>
          <w:i/>
          <w:sz w:val="28"/>
          <w:szCs w:val="28"/>
        </w:rPr>
      </w:pPr>
    </w:p>
    <w:p w:rsidR="00525901" w:rsidRPr="009F346A" w:rsidRDefault="00525901" w:rsidP="006F2323">
      <w:pPr>
        <w:ind w:left="-720" w:firstLine="709"/>
        <w:jc w:val="center"/>
        <w:rPr>
          <w:b/>
          <w:i/>
          <w:sz w:val="28"/>
          <w:szCs w:val="28"/>
        </w:rPr>
      </w:pPr>
      <w:r w:rsidRPr="009F346A">
        <w:rPr>
          <w:b/>
          <w:i/>
          <w:sz w:val="28"/>
          <w:szCs w:val="28"/>
        </w:rPr>
        <w:t>Показатель «Доля населения, получившего жилые помещения и улучшившего жилищные условия в отчетном году, в общей численности</w:t>
      </w:r>
    </w:p>
    <w:p w:rsidR="00525901" w:rsidRPr="009F346A" w:rsidRDefault="00525901" w:rsidP="006F2323">
      <w:pPr>
        <w:widowControl w:val="0"/>
        <w:autoSpaceDE w:val="0"/>
        <w:autoSpaceDN w:val="0"/>
        <w:adjustRightInd w:val="0"/>
        <w:ind w:left="-720"/>
        <w:jc w:val="center"/>
        <w:rPr>
          <w:b/>
          <w:i/>
          <w:sz w:val="28"/>
          <w:szCs w:val="28"/>
        </w:rPr>
      </w:pPr>
      <w:r w:rsidRPr="009F346A">
        <w:rPr>
          <w:b/>
          <w:i/>
          <w:sz w:val="28"/>
          <w:szCs w:val="28"/>
        </w:rPr>
        <w:t xml:space="preserve">населения, состоящего на учете в качестве нуждающегося в жилых помещениях» </w:t>
      </w:r>
    </w:p>
    <w:p w:rsidR="004D0E77" w:rsidRPr="009F346A" w:rsidRDefault="004D0E77" w:rsidP="00394248">
      <w:pPr>
        <w:tabs>
          <w:tab w:val="left" w:pos="7020"/>
        </w:tabs>
        <w:ind w:left="-709" w:firstLine="567"/>
        <w:jc w:val="both"/>
        <w:rPr>
          <w:rFonts w:eastAsiaTheme="majorEastAsia"/>
          <w:color w:val="000000"/>
          <w:sz w:val="28"/>
          <w:szCs w:val="28"/>
          <w:lang w:eastAsia="en-US"/>
        </w:rPr>
      </w:pPr>
      <w:r w:rsidRPr="009F346A">
        <w:rPr>
          <w:rFonts w:eastAsiaTheme="majorEastAsia"/>
          <w:color w:val="000000"/>
          <w:sz w:val="28"/>
          <w:szCs w:val="28"/>
          <w:lang w:eastAsia="en-US"/>
        </w:rPr>
        <w:t>Доля населения, получившего жилые помещения и улучшившего жилищные условия в 2020 году, в общей численности населения, состоящего на учете в качестве нуждающихся в жилых помещениях составила 78,3% (2019 год – 77,6%).</w:t>
      </w:r>
    </w:p>
    <w:p w:rsidR="00394248" w:rsidRDefault="00394248" w:rsidP="00394248">
      <w:pPr>
        <w:tabs>
          <w:tab w:val="left" w:pos="7020"/>
        </w:tabs>
        <w:ind w:left="-709" w:firstLine="567"/>
        <w:jc w:val="both"/>
        <w:rPr>
          <w:rFonts w:eastAsiaTheme="majorEastAsia"/>
          <w:color w:val="000000"/>
          <w:sz w:val="28"/>
          <w:szCs w:val="28"/>
          <w:lang w:eastAsia="en-US"/>
        </w:rPr>
      </w:pPr>
    </w:p>
    <w:p w:rsidR="004D0E77" w:rsidRPr="009F346A" w:rsidRDefault="004D0E77" w:rsidP="00394248">
      <w:pPr>
        <w:tabs>
          <w:tab w:val="left" w:pos="7020"/>
        </w:tabs>
        <w:ind w:left="-709" w:firstLine="567"/>
        <w:jc w:val="both"/>
        <w:rPr>
          <w:rFonts w:eastAsiaTheme="majorEastAsia"/>
          <w:color w:val="000000"/>
          <w:sz w:val="28"/>
          <w:szCs w:val="28"/>
          <w:lang w:eastAsia="en-US"/>
        </w:rPr>
      </w:pPr>
      <w:r w:rsidRPr="009F346A">
        <w:rPr>
          <w:rFonts w:eastAsiaTheme="majorEastAsia"/>
          <w:color w:val="000000"/>
          <w:sz w:val="28"/>
          <w:szCs w:val="28"/>
          <w:lang w:eastAsia="en-US"/>
        </w:rPr>
        <w:t>В 2020 году из 1280 граждан, состоящих на учете, улучшили свои жилищные условия 1008 человек, путем получения жилых помещений в порядке очередности по договорам социального найма, переселения из непригодного, аварийного жилищного фонда, получение жилых помещений специализированного жилищного фонда, фонда коммерческого использования, реализации мероприятий различных целевых программ (по предоставлению субсидий молодым семьям, переселение за пределы автономного округа), обеспечение детей сирот.</w:t>
      </w:r>
    </w:p>
    <w:p w:rsidR="0096783E" w:rsidRPr="009F346A" w:rsidRDefault="0096783E" w:rsidP="006F2323">
      <w:pPr>
        <w:widowControl w:val="0"/>
        <w:autoSpaceDE w:val="0"/>
        <w:autoSpaceDN w:val="0"/>
        <w:adjustRightInd w:val="0"/>
        <w:ind w:left="-720"/>
        <w:jc w:val="center"/>
        <w:outlineLvl w:val="1"/>
        <w:rPr>
          <w:b/>
          <w:i/>
          <w:sz w:val="28"/>
          <w:szCs w:val="28"/>
        </w:rPr>
      </w:pPr>
    </w:p>
    <w:p w:rsidR="00E321BD" w:rsidRPr="009F346A" w:rsidRDefault="00E321BD" w:rsidP="00E321BD">
      <w:pPr>
        <w:ind w:left="-720" w:right="-1" w:firstLine="11"/>
        <w:jc w:val="center"/>
        <w:rPr>
          <w:b/>
          <w:i/>
          <w:sz w:val="28"/>
          <w:szCs w:val="28"/>
        </w:rPr>
      </w:pPr>
      <w:r w:rsidRPr="009F346A">
        <w:rPr>
          <w:b/>
          <w:i/>
          <w:sz w:val="28"/>
          <w:szCs w:val="28"/>
        </w:rPr>
        <w:t>Показатель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E41AE0" w:rsidRPr="009F346A" w:rsidRDefault="00E41AE0" w:rsidP="00E41AE0">
      <w:pPr>
        <w:widowControl w:val="0"/>
        <w:autoSpaceDE w:val="0"/>
        <w:autoSpaceDN w:val="0"/>
        <w:adjustRightInd w:val="0"/>
        <w:ind w:left="-709" w:firstLine="709"/>
        <w:jc w:val="both"/>
        <w:outlineLvl w:val="1"/>
        <w:rPr>
          <w:rFonts w:eastAsiaTheme="majorEastAsia"/>
          <w:color w:val="000000"/>
          <w:sz w:val="28"/>
          <w:szCs w:val="28"/>
          <w:lang w:eastAsia="en-US"/>
        </w:rPr>
      </w:pPr>
      <w:r w:rsidRPr="009F346A">
        <w:rPr>
          <w:rFonts w:eastAsiaTheme="majorEastAsia"/>
          <w:color w:val="000000"/>
          <w:sz w:val="28"/>
          <w:szCs w:val="28"/>
          <w:lang w:eastAsia="en-US"/>
        </w:rPr>
        <w:t xml:space="preserve">В 2020 году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составила 85,3 % (2019 год – 71,5 %). </w:t>
      </w:r>
    </w:p>
    <w:p w:rsidR="00E41AE0" w:rsidRPr="009F346A" w:rsidRDefault="00E41AE0" w:rsidP="00E41AE0">
      <w:pPr>
        <w:ind w:left="-709" w:firstLine="709"/>
        <w:jc w:val="both"/>
        <w:rPr>
          <w:rFonts w:eastAsiaTheme="majorEastAsia"/>
          <w:color w:val="000000"/>
          <w:sz w:val="28"/>
          <w:szCs w:val="28"/>
          <w:lang w:eastAsia="en-US"/>
        </w:rPr>
      </w:pPr>
      <w:r w:rsidRPr="009F346A">
        <w:rPr>
          <w:rFonts w:eastAsiaTheme="majorEastAsia"/>
          <w:color w:val="000000"/>
          <w:sz w:val="28"/>
          <w:szCs w:val="28"/>
          <w:lang w:eastAsia="en-US"/>
        </w:rPr>
        <w:t>В Нижневартовском районе выстроена эффективная система, позволяющая привлекать дополнительные доходы. Регулярно проводятся заседания комиссии по мобилизации дополнительных доходов в бюджет района. Работа комиссии направлена на выявление неучтенных хозяйствующих субъектов, в том числе обособленных подразделений, осуществляющих деятельность на территории района, а также погашение задолженности по налоговым и неналоговым платежам. Разработан комплекс мероприятий, направленный на увеличение доходов бюджета. В целях активизации совместной работы с налоговым органом администрацией района заключено соглашение о взаимодействии органов местного самоуправления и территориальным органом Федеральной налоговой службы, которое успешно реализуется обеими сторонами. Ежегодно проводится работа, направленная на урегулирование и предупреждение образования задолженности по имущественным налогам сотрудников органов местного самоуправления и муниципальных учреждений района, городских и сельских поселений района.</w:t>
      </w:r>
    </w:p>
    <w:p w:rsidR="00E321BD" w:rsidRPr="009F346A" w:rsidRDefault="00E321BD" w:rsidP="00E321BD">
      <w:pPr>
        <w:ind w:left="-720" w:right="-1" w:firstLine="11"/>
        <w:jc w:val="center"/>
        <w:rPr>
          <w:b/>
          <w:i/>
          <w:sz w:val="28"/>
          <w:szCs w:val="28"/>
        </w:rPr>
      </w:pPr>
    </w:p>
    <w:p w:rsidR="00525901" w:rsidRPr="009F346A" w:rsidRDefault="00525901" w:rsidP="006F2323">
      <w:pPr>
        <w:widowControl w:val="0"/>
        <w:autoSpaceDE w:val="0"/>
        <w:autoSpaceDN w:val="0"/>
        <w:adjustRightInd w:val="0"/>
        <w:ind w:left="-720"/>
        <w:jc w:val="center"/>
        <w:outlineLvl w:val="1"/>
        <w:rPr>
          <w:b/>
          <w:i/>
          <w:sz w:val="28"/>
          <w:szCs w:val="28"/>
        </w:rPr>
      </w:pPr>
      <w:r w:rsidRPr="009F346A">
        <w:rPr>
          <w:b/>
          <w:i/>
          <w:sz w:val="28"/>
          <w:szCs w:val="28"/>
        </w:rPr>
        <w:t xml:space="preserve">Показатель «Площадь земельных участков, предоставленных для строительства, в отношении которых с даты принятия решения </w:t>
      </w:r>
    </w:p>
    <w:p w:rsidR="00525901" w:rsidRPr="009F346A" w:rsidRDefault="00525901" w:rsidP="006F2323">
      <w:pPr>
        <w:widowControl w:val="0"/>
        <w:autoSpaceDE w:val="0"/>
        <w:autoSpaceDN w:val="0"/>
        <w:adjustRightInd w:val="0"/>
        <w:ind w:left="-720"/>
        <w:jc w:val="center"/>
        <w:outlineLvl w:val="1"/>
        <w:rPr>
          <w:b/>
          <w:i/>
          <w:sz w:val="28"/>
          <w:szCs w:val="28"/>
        </w:rPr>
      </w:pPr>
      <w:r w:rsidRPr="009F346A">
        <w:rPr>
          <w:b/>
          <w:i/>
          <w:sz w:val="28"/>
          <w:szCs w:val="28"/>
        </w:rPr>
        <w:t xml:space="preserve">о предоставлении земельного участка или подписания протокола о результатах торгов (конкурсов, аукционов) не было получено разрешение </w:t>
      </w:r>
    </w:p>
    <w:p w:rsidR="00525901" w:rsidRPr="009F346A" w:rsidRDefault="00525901" w:rsidP="006F2323">
      <w:pPr>
        <w:widowControl w:val="0"/>
        <w:autoSpaceDE w:val="0"/>
        <w:autoSpaceDN w:val="0"/>
        <w:adjustRightInd w:val="0"/>
        <w:ind w:left="-720"/>
        <w:jc w:val="center"/>
        <w:outlineLvl w:val="1"/>
        <w:rPr>
          <w:b/>
          <w:i/>
          <w:sz w:val="28"/>
          <w:szCs w:val="28"/>
        </w:rPr>
      </w:pPr>
      <w:r w:rsidRPr="009F346A">
        <w:rPr>
          <w:b/>
          <w:i/>
          <w:sz w:val="28"/>
          <w:szCs w:val="28"/>
        </w:rPr>
        <w:t xml:space="preserve">на ввод в эксплуатацию»  </w:t>
      </w:r>
    </w:p>
    <w:p w:rsidR="007373EB" w:rsidRPr="009F346A" w:rsidRDefault="007373EB" w:rsidP="007373EB">
      <w:pPr>
        <w:autoSpaceDE w:val="0"/>
        <w:autoSpaceDN w:val="0"/>
        <w:ind w:left="-567" w:firstLine="720"/>
        <w:jc w:val="both"/>
        <w:rPr>
          <w:iCs/>
          <w:sz w:val="28"/>
          <w:szCs w:val="28"/>
        </w:rPr>
      </w:pPr>
      <w:r w:rsidRPr="009F346A">
        <w:rPr>
          <w:iCs/>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отсутствует.</w:t>
      </w:r>
    </w:p>
    <w:p w:rsidR="007373EB" w:rsidRPr="009F346A" w:rsidRDefault="007373EB" w:rsidP="007373EB">
      <w:pPr>
        <w:ind w:left="-567" w:firstLine="720"/>
        <w:jc w:val="both"/>
        <w:rPr>
          <w:iCs/>
          <w:sz w:val="28"/>
          <w:szCs w:val="28"/>
        </w:rPr>
      </w:pPr>
      <w:r w:rsidRPr="009F346A">
        <w:rPr>
          <w:iCs/>
          <w:sz w:val="28"/>
          <w:szCs w:val="28"/>
        </w:rPr>
        <w:t>В 2020 году срок на получение разрешения на строительство составляет до 5 дней, количество процедур составило – 5, время прохождения всех процедур на получение разрешения на строительство - 52 дня.</w:t>
      </w:r>
    </w:p>
    <w:p w:rsidR="007373EB" w:rsidRPr="009F346A" w:rsidRDefault="007373EB" w:rsidP="007373EB">
      <w:pPr>
        <w:ind w:left="-567" w:firstLine="709"/>
        <w:jc w:val="both"/>
        <w:rPr>
          <w:iCs/>
          <w:sz w:val="28"/>
          <w:szCs w:val="28"/>
        </w:rPr>
      </w:pPr>
      <w:r w:rsidRPr="009F346A">
        <w:rPr>
          <w:iCs/>
          <w:sz w:val="28"/>
          <w:szCs w:val="28"/>
        </w:rPr>
        <w:t>Принятые меры позволяют своевременно формировать и осваивать земельные участки для жилищного строительства и иных объектов капитального строительства.</w:t>
      </w:r>
    </w:p>
    <w:p w:rsidR="00FE46B4" w:rsidRPr="009F346A" w:rsidRDefault="00FE46B4" w:rsidP="006F2323">
      <w:pPr>
        <w:ind w:left="-720" w:firstLine="720"/>
        <w:jc w:val="both"/>
        <w:rPr>
          <w:sz w:val="28"/>
          <w:szCs w:val="28"/>
        </w:rPr>
      </w:pPr>
    </w:p>
    <w:p w:rsidR="00FE46B4" w:rsidRPr="009F346A" w:rsidRDefault="00FE46B4" w:rsidP="006F2323">
      <w:pPr>
        <w:widowControl w:val="0"/>
        <w:autoSpaceDE w:val="0"/>
        <w:autoSpaceDN w:val="0"/>
        <w:adjustRightInd w:val="0"/>
        <w:ind w:left="-720"/>
        <w:jc w:val="center"/>
        <w:outlineLvl w:val="1"/>
        <w:rPr>
          <w:b/>
          <w:i/>
          <w:sz w:val="28"/>
          <w:szCs w:val="28"/>
        </w:rPr>
      </w:pPr>
      <w:r w:rsidRPr="009F346A">
        <w:rPr>
          <w:b/>
          <w:i/>
          <w:sz w:val="28"/>
          <w:szCs w:val="28"/>
        </w:rPr>
        <w:t>Показатель «Доля многоквартирных домов, расположенных на земельных участках, в отношении которых осуществлен государственный кадастровый учет»</w:t>
      </w:r>
    </w:p>
    <w:p w:rsidR="00876445" w:rsidRPr="009F346A" w:rsidRDefault="00876445" w:rsidP="006F2323">
      <w:pPr>
        <w:widowControl w:val="0"/>
        <w:autoSpaceDE w:val="0"/>
        <w:autoSpaceDN w:val="0"/>
        <w:adjustRightInd w:val="0"/>
        <w:ind w:left="-720"/>
        <w:jc w:val="center"/>
        <w:outlineLvl w:val="1"/>
        <w:rPr>
          <w:b/>
          <w:i/>
          <w:sz w:val="28"/>
          <w:szCs w:val="28"/>
        </w:rPr>
      </w:pPr>
    </w:p>
    <w:p w:rsidR="00876445" w:rsidRPr="009F346A" w:rsidRDefault="00876445" w:rsidP="006F2323">
      <w:pPr>
        <w:widowControl w:val="0"/>
        <w:autoSpaceDE w:val="0"/>
        <w:autoSpaceDN w:val="0"/>
        <w:adjustRightInd w:val="0"/>
        <w:ind w:left="-720" w:firstLine="709"/>
        <w:jc w:val="both"/>
        <w:outlineLvl w:val="1"/>
        <w:rPr>
          <w:sz w:val="28"/>
          <w:szCs w:val="28"/>
        </w:rPr>
      </w:pPr>
      <w:r w:rsidRPr="009F346A">
        <w:rPr>
          <w:sz w:val="28"/>
          <w:szCs w:val="28"/>
        </w:rPr>
        <w:t xml:space="preserve">Все земельные участки под многоквартирными домами поставлены на государственный кадастровый учет. Строительство многоквартирных жилых домов осуществляется </w:t>
      </w:r>
      <w:r w:rsidR="006671AA" w:rsidRPr="009F346A">
        <w:rPr>
          <w:sz w:val="28"/>
          <w:szCs w:val="28"/>
        </w:rPr>
        <w:t>после постановки на государственный кадастровый учет земельных участков и предоставления их в аренду под строительство.</w:t>
      </w:r>
    </w:p>
    <w:p w:rsidR="006123C6" w:rsidRPr="009F346A" w:rsidRDefault="006123C6" w:rsidP="006F2323">
      <w:pPr>
        <w:widowControl w:val="0"/>
        <w:autoSpaceDE w:val="0"/>
        <w:autoSpaceDN w:val="0"/>
        <w:adjustRightInd w:val="0"/>
        <w:ind w:left="-720" w:firstLine="709"/>
        <w:jc w:val="both"/>
        <w:outlineLvl w:val="1"/>
        <w:rPr>
          <w:sz w:val="28"/>
          <w:szCs w:val="28"/>
        </w:rPr>
      </w:pPr>
    </w:p>
    <w:p w:rsidR="00D57D78" w:rsidRPr="009F346A" w:rsidRDefault="00D57D78" w:rsidP="006F2323">
      <w:pPr>
        <w:pStyle w:val="a3"/>
        <w:widowControl w:val="0"/>
        <w:tabs>
          <w:tab w:val="left" w:pos="709"/>
        </w:tabs>
        <w:autoSpaceDE w:val="0"/>
        <w:autoSpaceDN w:val="0"/>
        <w:adjustRightInd w:val="0"/>
        <w:spacing w:after="0" w:line="240" w:lineRule="auto"/>
        <w:ind w:left="-720"/>
        <w:contextualSpacing/>
        <w:jc w:val="center"/>
        <w:rPr>
          <w:rFonts w:ascii="Times New Roman" w:hAnsi="Times New Roman" w:cs="Times New Roman"/>
          <w:b/>
          <w:i/>
          <w:sz w:val="28"/>
          <w:szCs w:val="28"/>
        </w:rPr>
      </w:pPr>
      <w:r w:rsidRPr="009F346A">
        <w:rPr>
          <w:rFonts w:ascii="Times New Roman" w:hAnsi="Times New Roman" w:cs="Times New Roman"/>
          <w:b/>
          <w:i/>
          <w:sz w:val="28"/>
          <w:szCs w:val="28"/>
        </w:rPr>
        <w:t>Показатель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D57D78" w:rsidRPr="009F346A" w:rsidRDefault="00D57D78" w:rsidP="006F2323">
      <w:pPr>
        <w:widowControl w:val="0"/>
        <w:tabs>
          <w:tab w:val="left" w:pos="709"/>
        </w:tabs>
        <w:autoSpaceDE w:val="0"/>
        <w:autoSpaceDN w:val="0"/>
        <w:adjustRightInd w:val="0"/>
        <w:ind w:left="-720" w:firstLine="709"/>
        <w:jc w:val="both"/>
        <w:outlineLvl w:val="1"/>
        <w:rPr>
          <w:sz w:val="28"/>
          <w:szCs w:val="28"/>
        </w:rPr>
      </w:pPr>
      <w:r w:rsidRPr="009F346A">
        <w:rPr>
          <w:sz w:val="28"/>
          <w:szCs w:val="28"/>
        </w:rPr>
        <w:t>Доля основных фондов организаций муниципальной формы собственности, находящихся в стадии банкротства, в муниципальном образовании Нижневартовский район отсутствует.</w:t>
      </w:r>
    </w:p>
    <w:p w:rsidR="00D57D78" w:rsidRPr="009F346A" w:rsidRDefault="00D57D78" w:rsidP="006F2323">
      <w:pPr>
        <w:widowControl w:val="0"/>
        <w:tabs>
          <w:tab w:val="left" w:pos="709"/>
        </w:tabs>
        <w:autoSpaceDE w:val="0"/>
        <w:autoSpaceDN w:val="0"/>
        <w:adjustRightInd w:val="0"/>
        <w:ind w:left="-720" w:firstLine="709"/>
        <w:jc w:val="both"/>
        <w:rPr>
          <w:bCs/>
          <w:color w:val="FF0000"/>
          <w:lang w:eastAsia="en-US"/>
        </w:rPr>
      </w:pPr>
    </w:p>
    <w:p w:rsidR="00D57D78" w:rsidRPr="009F346A" w:rsidRDefault="00C54F6E" w:rsidP="006F2323">
      <w:pPr>
        <w:pStyle w:val="a3"/>
        <w:widowControl w:val="0"/>
        <w:tabs>
          <w:tab w:val="left" w:pos="709"/>
        </w:tabs>
        <w:autoSpaceDE w:val="0"/>
        <w:autoSpaceDN w:val="0"/>
        <w:adjustRightInd w:val="0"/>
        <w:spacing w:after="0" w:line="240" w:lineRule="auto"/>
        <w:ind w:left="-720"/>
        <w:contextualSpacing/>
        <w:jc w:val="center"/>
        <w:rPr>
          <w:rFonts w:ascii="Times New Roman" w:hAnsi="Times New Roman" w:cs="Times New Roman"/>
          <w:b/>
          <w:i/>
          <w:sz w:val="28"/>
          <w:szCs w:val="28"/>
        </w:rPr>
      </w:pPr>
      <w:r w:rsidRPr="009F346A">
        <w:rPr>
          <w:rFonts w:ascii="Times New Roman" w:hAnsi="Times New Roman" w:cs="Times New Roman"/>
          <w:b/>
          <w:i/>
          <w:sz w:val="28"/>
          <w:szCs w:val="28"/>
        </w:rPr>
        <w:t>Показатель</w:t>
      </w:r>
      <w:r w:rsidR="00D57D78" w:rsidRPr="009F346A">
        <w:rPr>
          <w:rFonts w:ascii="Times New Roman" w:hAnsi="Times New Roman" w:cs="Times New Roman"/>
          <w:b/>
          <w:i/>
          <w:sz w:val="28"/>
          <w:szCs w:val="28"/>
        </w:rPr>
        <w:t xml:space="preserve"> «Объем незавершенного в установленные сроки строительства, осуществляемого за счет средств бюджета городского округа (муниципального района)»</w:t>
      </w:r>
    </w:p>
    <w:p w:rsidR="00D57D78" w:rsidRPr="006F2323" w:rsidRDefault="00D57D78" w:rsidP="006F2323">
      <w:pPr>
        <w:widowControl w:val="0"/>
        <w:tabs>
          <w:tab w:val="left" w:pos="709"/>
        </w:tabs>
        <w:autoSpaceDE w:val="0"/>
        <w:autoSpaceDN w:val="0"/>
        <w:adjustRightInd w:val="0"/>
        <w:ind w:left="-720" w:firstLine="709"/>
        <w:jc w:val="both"/>
        <w:rPr>
          <w:sz w:val="28"/>
          <w:szCs w:val="28"/>
        </w:rPr>
      </w:pPr>
      <w:r w:rsidRPr="009F346A">
        <w:rPr>
          <w:sz w:val="28"/>
          <w:szCs w:val="28"/>
        </w:rPr>
        <w:t xml:space="preserve">На территории </w:t>
      </w:r>
      <w:r w:rsidR="00A6597F" w:rsidRPr="009F346A">
        <w:rPr>
          <w:sz w:val="28"/>
          <w:szCs w:val="28"/>
        </w:rPr>
        <w:t>Нижневартовского</w:t>
      </w:r>
      <w:r w:rsidRPr="009F346A">
        <w:rPr>
          <w:sz w:val="28"/>
          <w:szCs w:val="28"/>
        </w:rPr>
        <w:t xml:space="preserve"> района отсутствуют объекты незавершенного в установленные сроки капитального строительства</w:t>
      </w:r>
      <w:r w:rsidR="00120946" w:rsidRPr="009F346A">
        <w:rPr>
          <w:sz w:val="28"/>
          <w:szCs w:val="28"/>
        </w:rPr>
        <w:t>,</w:t>
      </w:r>
      <w:r w:rsidR="00120946" w:rsidRPr="009F346A">
        <w:rPr>
          <w:b/>
          <w:i/>
          <w:sz w:val="28"/>
          <w:szCs w:val="28"/>
        </w:rPr>
        <w:t xml:space="preserve"> </w:t>
      </w:r>
      <w:r w:rsidR="00120946" w:rsidRPr="009F346A">
        <w:rPr>
          <w:sz w:val="28"/>
          <w:szCs w:val="28"/>
        </w:rPr>
        <w:t>осуществляемые за счет средств бюджета района</w:t>
      </w:r>
      <w:r w:rsidRPr="009F346A">
        <w:rPr>
          <w:sz w:val="28"/>
          <w:szCs w:val="28"/>
        </w:rPr>
        <w:t>.</w:t>
      </w:r>
    </w:p>
    <w:p w:rsidR="006123C6" w:rsidRPr="006F2323" w:rsidRDefault="006123C6" w:rsidP="006F2323">
      <w:pPr>
        <w:widowControl w:val="0"/>
        <w:tabs>
          <w:tab w:val="left" w:pos="709"/>
        </w:tabs>
        <w:autoSpaceDE w:val="0"/>
        <w:autoSpaceDN w:val="0"/>
        <w:adjustRightInd w:val="0"/>
        <w:ind w:left="-720" w:firstLine="709"/>
        <w:jc w:val="both"/>
        <w:outlineLvl w:val="1"/>
        <w:rPr>
          <w:sz w:val="28"/>
          <w:szCs w:val="28"/>
        </w:rPr>
      </w:pPr>
    </w:p>
    <w:sectPr w:rsidR="006123C6" w:rsidRPr="006F2323" w:rsidSect="00262881">
      <w:headerReference w:type="even" r:id="rId8"/>
      <w:headerReference w:type="default" r:id="rId9"/>
      <w:pgSz w:w="11906" w:h="16838" w:code="9"/>
      <w:pgMar w:top="1134" w:right="567" w:bottom="7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B19" w:rsidRDefault="00A66B19">
      <w:r>
        <w:separator/>
      </w:r>
    </w:p>
  </w:endnote>
  <w:endnote w:type="continuationSeparator" w:id="0">
    <w:p w:rsidR="00A66B19" w:rsidRDefault="00A6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B19" w:rsidRDefault="00A66B19">
      <w:r>
        <w:separator/>
      </w:r>
    </w:p>
  </w:footnote>
  <w:footnote w:type="continuationSeparator" w:id="0">
    <w:p w:rsidR="00A66B19" w:rsidRDefault="00A66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93" w:rsidRDefault="00095B93">
    <w:pPr>
      <w:pStyle w:val="a6"/>
      <w:jc w:val="cente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93" w:rsidRDefault="00095B93" w:rsidP="0093415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874F5"/>
    <w:multiLevelType w:val="hybridMultilevel"/>
    <w:tmpl w:val="48E017B8"/>
    <w:lvl w:ilvl="0" w:tplc="AAAE7B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B31655A"/>
    <w:multiLevelType w:val="hybridMultilevel"/>
    <w:tmpl w:val="49F0D92E"/>
    <w:lvl w:ilvl="0" w:tplc="D19A9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60"/>
    <w:rsid w:val="00001544"/>
    <w:rsid w:val="00001F1D"/>
    <w:rsid w:val="00010433"/>
    <w:rsid w:val="0001191B"/>
    <w:rsid w:val="00013405"/>
    <w:rsid w:val="000168DE"/>
    <w:rsid w:val="0002592E"/>
    <w:rsid w:val="00035595"/>
    <w:rsid w:val="0004666A"/>
    <w:rsid w:val="0005435A"/>
    <w:rsid w:val="000645F9"/>
    <w:rsid w:val="000664D2"/>
    <w:rsid w:val="000739F8"/>
    <w:rsid w:val="000768EA"/>
    <w:rsid w:val="000772EC"/>
    <w:rsid w:val="00083007"/>
    <w:rsid w:val="0008303E"/>
    <w:rsid w:val="00090733"/>
    <w:rsid w:val="000937AF"/>
    <w:rsid w:val="00095B93"/>
    <w:rsid w:val="00096871"/>
    <w:rsid w:val="000A4F23"/>
    <w:rsid w:val="000A7CEA"/>
    <w:rsid w:val="000B1477"/>
    <w:rsid w:val="000B4281"/>
    <w:rsid w:val="000B531A"/>
    <w:rsid w:val="000C16EB"/>
    <w:rsid w:val="000D10C2"/>
    <w:rsid w:val="000F1CE9"/>
    <w:rsid w:val="000F23E7"/>
    <w:rsid w:val="000F3505"/>
    <w:rsid w:val="000F4F04"/>
    <w:rsid w:val="00101CC3"/>
    <w:rsid w:val="001046B2"/>
    <w:rsid w:val="001048F1"/>
    <w:rsid w:val="00112769"/>
    <w:rsid w:val="0011352B"/>
    <w:rsid w:val="00114976"/>
    <w:rsid w:val="00120946"/>
    <w:rsid w:val="00121116"/>
    <w:rsid w:val="00123329"/>
    <w:rsid w:val="00134FDB"/>
    <w:rsid w:val="00140F18"/>
    <w:rsid w:val="001464B7"/>
    <w:rsid w:val="00147C1B"/>
    <w:rsid w:val="0015744D"/>
    <w:rsid w:val="00163407"/>
    <w:rsid w:val="0016345F"/>
    <w:rsid w:val="00164540"/>
    <w:rsid w:val="001654F9"/>
    <w:rsid w:val="00165E3C"/>
    <w:rsid w:val="0017061C"/>
    <w:rsid w:val="001826F9"/>
    <w:rsid w:val="00183F8B"/>
    <w:rsid w:val="00190D0B"/>
    <w:rsid w:val="001A7860"/>
    <w:rsid w:val="001B09DC"/>
    <w:rsid w:val="001B4DB9"/>
    <w:rsid w:val="001B575D"/>
    <w:rsid w:val="001B7284"/>
    <w:rsid w:val="001B7F18"/>
    <w:rsid w:val="001C7CF2"/>
    <w:rsid w:val="001D0AB0"/>
    <w:rsid w:val="001D2D13"/>
    <w:rsid w:val="001E4379"/>
    <w:rsid w:val="001E4765"/>
    <w:rsid w:val="001E705E"/>
    <w:rsid w:val="001F6249"/>
    <w:rsid w:val="001F7130"/>
    <w:rsid w:val="002026B5"/>
    <w:rsid w:val="002039BF"/>
    <w:rsid w:val="0022310C"/>
    <w:rsid w:val="0022711C"/>
    <w:rsid w:val="0023093D"/>
    <w:rsid w:val="00232CF3"/>
    <w:rsid w:val="002344E5"/>
    <w:rsid w:val="002350F6"/>
    <w:rsid w:val="00240193"/>
    <w:rsid w:val="00240F1F"/>
    <w:rsid w:val="002429A9"/>
    <w:rsid w:val="00246F2A"/>
    <w:rsid w:val="002512E5"/>
    <w:rsid w:val="002533C8"/>
    <w:rsid w:val="00255399"/>
    <w:rsid w:val="00255F83"/>
    <w:rsid w:val="0026084C"/>
    <w:rsid w:val="002609A4"/>
    <w:rsid w:val="00262881"/>
    <w:rsid w:val="0026455F"/>
    <w:rsid w:val="002668DB"/>
    <w:rsid w:val="002714CE"/>
    <w:rsid w:val="00276102"/>
    <w:rsid w:val="002762C4"/>
    <w:rsid w:val="00283043"/>
    <w:rsid w:val="00285A1D"/>
    <w:rsid w:val="00291E28"/>
    <w:rsid w:val="002943B6"/>
    <w:rsid w:val="002A0564"/>
    <w:rsid w:val="002A0F99"/>
    <w:rsid w:val="002A2F13"/>
    <w:rsid w:val="002A5B2E"/>
    <w:rsid w:val="002B055D"/>
    <w:rsid w:val="002D42B0"/>
    <w:rsid w:val="002E08A1"/>
    <w:rsid w:val="002E772B"/>
    <w:rsid w:val="002F4151"/>
    <w:rsid w:val="002F4D45"/>
    <w:rsid w:val="002F6DB1"/>
    <w:rsid w:val="00300772"/>
    <w:rsid w:val="00302C5A"/>
    <w:rsid w:val="00303547"/>
    <w:rsid w:val="00303A10"/>
    <w:rsid w:val="00303C16"/>
    <w:rsid w:val="00304D4B"/>
    <w:rsid w:val="0031269F"/>
    <w:rsid w:val="00320859"/>
    <w:rsid w:val="00321CFE"/>
    <w:rsid w:val="00327D57"/>
    <w:rsid w:val="00327E6F"/>
    <w:rsid w:val="003350A7"/>
    <w:rsid w:val="00354A7B"/>
    <w:rsid w:val="00362E9A"/>
    <w:rsid w:val="003676FD"/>
    <w:rsid w:val="00367F28"/>
    <w:rsid w:val="00373514"/>
    <w:rsid w:val="0037543A"/>
    <w:rsid w:val="003839B9"/>
    <w:rsid w:val="003850C3"/>
    <w:rsid w:val="003851C4"/>
    <w:rsid w:val="0038693B"/>
    <w:rsid w:val="00394248"/>
    <w:rsid w:val="003A640A"/>
    <w:rsid w:val="003B027F"/>
    <w:rsid w:val="003D10BF"/>
    <w:rsid w:val="003D5DC7"/>
    <w:rsid w:val="003E5CB0"/>
    <w:rsid w:val="00401823"/>
    <w:rsid w:val="00402280"/>
    <w:rsid w:val="00410867"/>
    <w:rsid w:val="00416361"/>
    <w:rsid w:val="00417E80"/>
    <w:rsid w:val="00441C54"/>
    <w:rsid w:val="00461A2C"/>
    <w:rsid w:val="00462E59"/>
    <w:rsid w:val="00466431"/>
    <w:rsid w:val="0047016D"/>
    <w:rsid w:val="00477A6E"/>
    <w:rsid w:val="00485C77"/>
    <w:rsid w:val="004912E0"/>
    <w:rsid w:val="004A10F1"/>
    <w:rsid w:val="004C401D"/>
    <w:rsid w:val="004C4F40"/>
    <w:rsid w:val="004C68C5"/>
    <w:rsid w:val="004C7DDA"/>
    <w:rsid w:val="004D0E77"/>
    <w:rsid w:val="004D72B7"/>
    <w:rsid w:val="004E0E34"/>
    <w:rsid w:val="004F0557"/>
    <w:rsid w:val="004F3165"/>
    <w:rsid w:val="00504571"/>
    <w:rsid w:val="0052140A"/>
    <w:rsid w:val="00521D50"/>
    <w:rsid w:val="0052454D"/>
    <w:rsid w:val="00525901"/>
    <w:rsid w:val="00534132"/>
    <w:rsid w:val="00543193"/>
    <w:rsid w:val="00551100"/>
    <w:rsid w:val="00556677"/>
    <w:rsid w:val="00557186"/>
    <w:rsid w:val="00561915"/>
    <w:rsid w:val="005712E1"/>
    <w:rsid w:val="00572E87"/>
    <w:rsid w:val="00573D80"/>
    <w:rsid w:val="00581880"/>
    <w:rsid w:val="005853F2"/>
    <w:rsid w:val="00585A48"/>
    <w:rsid w:val="0059472A"/>
    <w:rsid w:val="005A57AD"/>
    <w:rsid w:val="005A72D3"/>
    <w:rsid w:val="005B1D9D"/>
    <w:rsid w:val="005B4F9F"/>
    <w:rsid w:val="005C7495"/>
    <w:rsid w:val="005D423D"/>
    <w:rsid w:val="005F0409"/>
    <w:rsid w:val="005F32F4"/>
    <w:rsid w:val="005F58E9"/>
    <w:rsid w:val="006021BB"/>
    <w:rsid w:val="006021E6"/>
    <w:rsid w:val="006049DD"/>
    <w:rsid w:val="006123C6"/>
    <w:rsid w:val="00622E66"/>
    <w:rsid w:val="006233BA"/>
    <w:rsid w:val="006317DC"/>
    <w:rsid w:val="0063616E"/>
    <w:rsid w:val="0066183A"/>
    <w:rsid w:val="00665DAA"/>
    <w:rsid w:val="006671AA"/>
    <w:rsid w:val="00672681"/>
    <w:rsid w:val="00674E71"/>
    <w:rsid w:val="00680227"/>
    <w:rsid w:val="00691AD4"/>
    <w:rsid w:val="00694314"/>
    <w:rsid w:val="006B1882"/>
    <w:rsid w:val="006B320D"/>
    <w:rsid w:val="006B6E09"/>
    <w:rsid w:val="006C4EA3"/>
    <w:rsid w:val="006C5A02"/>
    <w:rsid w:val="006C7485"/>
    <w:rsid w:val="006D4B68"/>
    <w:rsid w:val="006D6950"/>
    <w:rsid w:val="006D7D25"/>
    <w:rsid w:val="006E3F37"/>
    <w:rsid w:val="006E6A53"/>
    <w:rsid w:val="006F2323"/>
    <w:rsid w:val="006F26B7"/>
    <w:rsid w:val="006F7011"/>
    <w:rsid w:val="00706A41"/>
    <w:rsid w:val="00707F16"/>
    <w:rsid w:val="007136A1"/>
    <w:rsid w:val="007140E8"/>
    <w:rsid w:val="00717DDE"/>
    <w:rsid w:val="00724CCB"/>
    <w:rsid w:val="0073106E"/>
    <w:rsid w:val="00731EC9"/>
    <w:rsid w:val="007373EB"/>
    <w:rsid w:val="0074493A"/>
    <w:rsid w:val="007541D9"/>
    <w:rsid w:val="00754DEC"/>
    <w:rsid w:val="00755DEF"/>
    <w:rsid w:val="007668E3"/>
    <w:rsid w:val="00770E83"/>
    <w:rsid w:val="0078273E"/>
    <w:rsid w:val="007A1EFD"/>
    <w:rsid w:val="007A6561"/>
    <w:rsid w:val="007B2BC8"/>
    <w:rsid w:val="007B45AD"/>
    <w:rsid w:val="007B72D0"/>
    <w:rsid w:val="007C211D"/>
    <w:rsid w:val="007D2FEC"/>
    <w:rsid w:val="007D3C97"/>
    <w:rsid w:val="007D617B"/>
    <w:rsid w:val="007F2D27"/>
    <w:rsid w:val="007F6061"/>
    <w:rsid w:val="00802EE4"/>
    <w:rsid w:val="0080620A"/>
    <w:rsid w:val="008062D1"/>
    <w:rsid w:val="0081006F"/>
    <w:rsid w:val="0082479D"/>
    <w:rsid w:val="00836325"/>
    <w:rsid w:val="008652D0"/>
    <w:rsid w:val="00876445"/>
    <w:rsid w:val="00882DDF"/>
    <w:rsid w:val="008869AA"/>
    <w:rsid w:val="008915CD"/>
    <w:rsid w:val="0089794D"/>
    <w:rsid w:val="008A5A2F"/>
    <w:rsid w:val="008C1E0A"/>
    <w:rsid w:val="008C4419"/>
    <w:rsid w:val="008D11A6"/>
    <w:rsid w:val="008D6BBE"/>
    <w:rsid w:val="008D6D74"/>
    <w:rsid w:val="008D77AB"/>
    <w:rsid w:val="008F450F"/>
    <w:rsid w:val="00901131"/>
    <w:rsid w:val="009066E2"/>
    <w:rsid w:val="009076F4"/>
    <w:rsid w:val="00907BF6"/>
    <w:rsid w:val="0091147D"/>
    <w:rsid w:val="00912605"/>
    <w:rsid w:val="009146F7"/>
    <w:rsid w:val="00931D84"/>
    <w:rsid w:val="00932FD6"/>
    <w:rsid w:val="009454AB"/>
    <w:rsid w:val="009553BC"/>
    <w:rsid w:val="00957830"/>
    <w:rsid w:val="0096783E"/>
    <w:rsid w:val="0096799E"/>
    <w:rsid w:val="0097032F"/>
    <w:rsid w:val="009860AE"/>
    <w:rsid w:val="00987116"/>
    <w:rsid w:val="0098754C"/>
    <w:rsid w:val="0099332F"/>
    <w:rsid w:val="0099376E"/>
    <w:rsid w:val="00993D62"/>
    <w:rsid w:val="009A22F9"/>
    <w:rsid w:val="009A30C0"/>
    <w:rsid w:val="009C5A61"/>
    <w:rsid w:val="009C697C"/>
    <w:rsid w:val="009D0062"/>
    <w:rsid w:val="009D6BBC"/>
    <w:rsid w:val="009E2072"/>
    <w:rsid w:val="009F0551"/>
    <w:rsid w:val="009F346A"/>
    <w:rsid w:val="009F3513"/>
    <w:rsid w:val="009F4AF8"/>
    <w:rsid w:val="009F5C57"/>
    <w:rsid w:val="009F7698"/>
    <w:rsid w:val="00A1308F"/>
    <w:rsid w:val="00A13DEA"/>
    <w:rsid w:val="00A15B11"/>
    <w:rsid w:val="00A16DE8"/>
    <w:rsid w:val="00A20045"/>
    <w:rsid w:val="00A231E3"/>
    <w:rsid w:val="00A348FB"/>
    <w:rsid w:val="00A369AC"/>
    <w:rsid w:val="00A4258A"/>
    <w:rsid w:val="00A428B7"/>
    <w:rsid w:val="00A5383E"/>
    <w:rsid w:val="00A62011"/>
    <w:rsid w:val="00A62102"/>
    <w:rsid w:val="00A6597F"/>
    <w:rsid w:val="00A66B19"/>
    <w:rsid w:val="00A6746E"/>
    <w:rsid w:val="00A67F7E"/>
    <w:rsid w:val="00A7167A"/>
    <w:rsid w:val="00A73AC5"/>
    <w:rsid w:val="00A80FC5"/>
    <w:rsid w:val="00A91115"/>
    <w:rsid w:val="00A9639F"/>
    <w:rsid w:val="00AE0898"/>
    <w:rsid w:val="00AE1587"/>
    <w:rsid w:val="00AE67D0"/>
    <w:rsid w:val="00AE7C95"/>
    <w:rsid w:val="00AF5E0F"/>
    <w:rsid w:val="00B07449"/>
    <w:rsid w:val="00B25CAC"/>
    <w:rsid w:val="00B50F43"/>
    <w:rsid w:val="00B51CA7"/>
    <w:rsid w:val="00B56583"/>
    <w:rsid w:val="00B60494"/>
    <w:rsid w:val="00B605C2"/>
    <w:rsid w:val="00B65377"/>
    <w:rsid w:val="00B662AB"/>
    <w:rsid w:val="00B714C5"/>
    <w:rsid w:val="00B73B1E"/>
    <w:rsid w:val="00B92333"/>
    <w:rsid w:val="00B96004"/>
    <w:rsid w:val="00BA749D"/>
    <w:rsid w:val="00BB2B6D"/>
    <w:rsid w:val="00BB625B"/>
    <w:rsid w:val="00BB784B"/>
    <w:rsid w:val="00BC16CB"/>
    <w:rsid w:val="00BD17B2"/>
    <w:rsid w:val="00BD1CF2"/>
    <w:rsid w:val="00BD2562"/>
    <w:rsid w:val="00BD2BB7"/>
    <w:rsid w:val="00BD43C3"/>
    <w:rsid w:val="00BD73C3"/>
    <w:rsid w:val="00BE0940"/>
    <w:rsid w:val="00BE2709"/>
    <w:rsid w:val="00BF5CCA"/>
    <w:rsid w:val="00C0185A"/>
    <w:rsid w:val="00C04860"/>
    <w:rsid w:val="00C0514D"/>
    <w:rsid w:val="00C0549F"/>
    <w:rsid w:val="00C070B3"/>
    <w:rsid w:val="00C07509"/>
    <w:rsid w:val="00C12AF3"/>
    <w:rsid w:val="00C23856"/>
    <w:rsid w:val="00C24D0D"/>
    <w:rsid w:val="00C35C82"/>
    <w:rsid w:val="00C42D7A"/>
    <w:rsid w:val="00C54F6E"/>
    <w:rsid w:val="00C71A45"/>
    <w:rsid w:val="00C931FE"/>
    <w:rsid w:val="00CA3DAE"/>
    <w:rsid w:val="00CB25E3"/>
    <w:rsid w:val="00CB4733"/>
    <w:rsid w:val="00CC417F"/>
    <w:rsid w:val="00CC772E"/>
    <w:rsid w:val="00CD1A43"/>
    <w:rsid w:val="00CD1AFE"/>
    <w:rsid w:val="00CE07EA"/>
    <w:rsid w:val="00D0126A"/>
    <w:rsid w:val="00D14177"/>
    <w:rsid w:val="00D16312"/>
    <w:rsid w:val="00D16D12"/>
    <w:rsid w:val="00D261A4"/>
    <w:rsid w:val="00D30518"/>
    <w:rsid w:val="00D32DBD"/>
    <w:rsid w:val="00D44725"/>
    <w:rsid w:val="00D57D78"/>
    <w:rsid w:val="00D64ABA"/>
    <w:rsid w:val="00D733E1"/>
    <w:rsid w:val="00D75C5D"/>
    <w:rsid w:val="00D801C5"/>
    <w:rsid w:val="00D81442"/>
    <w:rsid w:val="00D93BCC"/>
    <w:rsid w:val="00D95094"/>
    <w:rsid w:val="00D977EC"/>
    <w:rsid w:val="00DB604F"/>
    <w:rsid w:val="00DC08FB"/>
    <w:rsid w:val="00DC0DA9"/>
    <w:rsid w:val="00DC2549"/>
    <w:rsid w:val="00DC32C0"/>
    <w:rsid w:val="00DC68F4"/>
    <w:rsid w:val="00DE63DE"/>
    <w:rsid w:val="00DF26D1"/>
    <w:rsid w:val="00E128B3"/>
    <w:rsid w:val="00E140E8"/>
    <w:rsid w:val="00E178BA"/>
    <w:rsid w:val="00E20578"/>
    <w:rsid w:val="00E23D9E"/>
    <w:rsid w:val="00E270B0"/>
    <w:rsid w:val="00E321BD"/>
    <w:rsid w:val="00E33EB3"/>
    <w:rsid w:val="00E35FCD"/>
    <w:rsid w:val="00E41AE0"/>
    <w:rsid w:val="00E43BFD"/>
    <w:rsid w:val="00E6096B"/>
    <w:rsid w:val="00E6119F"/>
    <w:rsid w:val="00E61C83"/>
    <w:rsid w:val="00E629B3"/>
    <w:rsid w:val="00E64D29"/>
    <w:rsid w:val="00E7432B"/>
    <w:rsid w:val="00E76163"/>
    <w:rsid w:val="00E851E3"/>
    <w:rsid w:val="00E91C3A"/>
    <w:rsid w:val="00E95398"/>
    <w:rsid w:val="00E95C95"/>
    <w:rsid w:val="00E9625D"/>
    <w:rsid w:val="00E97970"/>
    <w:rsid w:val="00EA7981"/>
    <w:rsid w:val="00EB1A12"/>
    <w:rsid w:val="00EB28F5"/>
    <w:rsid w:val="00EB6A43"/>
    <w:rsid w:val="00EC35D0"/>
    <w:rsid w:val="00EC45D4"/>
    <w:rsid w:val="00EC4D74"/>
    <w:rsid w:val="00ED2077"/>
    <w:rsid w:val="00ED2300"/>
    <w:rsid w:val="00EE57A9"/>
    <w:rsid w:val="00EE6697"/>
    <w:rsid w:val="00EE6722"/>
    <w:rsid w:val="00EF5C59"/>
    <w:rsid w:val="00EF60C9"/>
    <w:rsid w:val="00F02912"/>
    <w:rsid w:val="00F05683"/>
    <w:rsid w:val="00F05BC3"/>
    <w:rsid w:val="00F173C1"/>
    <w:rsid w:val="00F23461"/>
    <w:rsid w:val="00F25C64"/>
    <w:rsid w:val="00F27193"/>
    <w:rsid w:val="00F32A2E"/>
    <w:rsid w:val="00F3578E"/>
    <w:rsid w:val="00F41838"/>
    <w:rsid w:val="00F44851"/>
    <w:rsid w:val="00F5186C"/>
    <w:rsid w:val="00F528AB"/>
    <w:rsid w:val="00F56723"/>
    <w:rsid w:val="00F6142D"/>
    <w:rsid w:val="00F626BE"/>
    <w:rsid w:val="00F669D0"/>
    <w:rsid w:val="00F67CFF"/>
    <w:rsid w:val="00F72323"/>
    <w:rsid w:val="00F74E35"/>
    <w:rsid w:val="00F84487"/>
    <w:rsid w:val="00F91ADC"/>
    <w:rsid w:val="00F93260"/>
    <w:rsid w:val="00F94900"/>
    <w:rsid w:val="00FA0EEA"/>
    <w:rsid w:val="00FA38DB"/>
    <w:rsid w:val="00FA6253"/>
    <w:rsid w:val="00FB4DEF"/>
    <w:rsid w:val="00FB6187"/>
    <w:rsid w:val="00FB62A1"/>
    <w:rsid w:val="00FB71B3"/>
    <w:rsid w:val="00FC7E78"/>
    <w:rsid w:val="00FD7BB1"/>
    <w:rsid w:val="00FE0FF9"/>
    <w:rsid w:val="00FE2B7C"/>
    <w:rsid w:val="00FE46B4"/>
    <w:rsid w:val="00FF4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FF1A5-BC8C-4DB8-8F21-884AA6B4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8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801C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uiPriority w:val="99"/>
    <w:rsid w:val="001A78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uiPriority w:val="99"/>
    <w:rsid w:val="001A7860"/>
    <w:rPr>
      <w:rFonts w:ascii="Arial" w:eastAsia="Times New Roman" w:hAnsi="Arial" w:cs="Arial"/>
      <w:b/>
      <w:bCs/>
      <w:sz w:val="20"/>
      <w:szCs w:val="20"/>
      <w:lang w:eastAsia="ru-RU"/>
    </w:rPr>
  </w:style>
  <w:style w:type="paragraph" w:styleId="a3">
    <w:name w:val="List Paragraph"/>
    <w:basedOn w:val="a"/>
    <w:uiPriority w:val="34"/>
    <w:qFormat/>
    <w:rsid w:val="001A7860"/>
    <w:pPr>
      <w:spacing w:after="200" w:line="276" w:lineRule="auto"/>
      <w:ind w:left="720"/>
    </w:pPr>
    <w:rPr>
      <w:rFonts w:ascii="Calibri" w:hAnsi="Calibri" w:cs="Calibri"/>
      <w:sz w:val="22"/>
      <w:szCs w:val="22"/>
    </w:rPr>
  </w:style>
  <w:style w:type="character" w:styleId="a4">
    <w:name w:val="Hyperlink"/>
    <w:basedOn w:val="a0"/>
    <w:rsid w:val="001A7860"/>
    <w:rPr>
      <w:color w:val="0000FF"/>
      <w:u w:val="single"/>
    </w:rPr>
  </w:style>
  <w:style w:type="table" w:styleId="a5">
    <w:name w:val="Table Grid"/>
    <w:basedOn w:val="a1"/>
    <w:uiPriority w:val="59"/>
    <w:rsid w:val="001A78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1A7860"/>
    <w:pPr>
      <w:tabs>
        <w:tab w:val="center" w:pos="4677"/>
        <w:tab w:val="right" w:pos="9355"/>
      </w:tabs>
    </w:pPr>
  </w:style>
  <w:style w:type="character" w:customStyle="1" w:styleId="a7">
    <w:name w:val="Верхний колонтитул Знак"/>
    <w:basedOn w:val="a0"/>
    <w:link w:val="a6"/>
    <w:uiPriority w:val="99"/>
    <w:rsid w:val="001A7860"/>
    <w:rPr>
      <w:rFonts w:ascii="Times New Roman" w:eastAsia="Times New Roman" w:hAnsi="Times New Roman" w:cs="Times New Roman"/>
      <w:sz w:val="24"/>
      <w:szCs w:val="24"/>
      <w:lang w:eastAsia="ru-RU"/>
    </w:rPr>
  </w:style>
  <w:style w:type="paragraph" w:customStyle="1" w:styleId="14">
    <w:name w:val="Обычный+14п"/>
    <w:basedOn w:val="a8"/>
    <w:uiPriority w:val="99"/>
    <w:rsid w:val="002943B6"/>
    <w:pPr>
      <w:spacing w:line="360" w:lineRule="auto"/>
      <w:ind w:firstLine="709"/>
      <w:jc w:val="both"/>
      <w:outlineLvl w:val="0"/>
    </w:pPr>
    <w:rPr>
      <w:bCs/>
      <w:kern w:val="36"/>
    </w:rPr>
  </w:style>
  <w:style w:type="character" w:styleId="a9">
    <w:name w:val="Strong"/>
    <w:basedOn w:val="a0"/>
    <w:uiPriority w:val="22"/>
    <w:qFormat/>
    <w:rsid w:val="002943B6"/>
    <w:rPr>
      <w:rFonts w:cs="Times New Roman"/>
      <w:b/>
      <w:bCs/>
    </w:rPr>
  </w:style>
  <w:style w:type="paragraph" w:styleId="a8">
    <w:name w:val="Body Text"/>
    <w:basedOn w:val="a"/>
    <w:link w:val="aa"/>
    <w:uiPriority w:val="99"/>
    <w:semiHidden/>
    <w:unhideWhenUsed/>
    <w:rsid w:val="002943B6"/>
    <w:pPr>
      <w:spacing w:after="120"/>
    </w:pPr>
  </w:style>
  <w:style w:type="character" w:customStyle="1" w:styleId="aa">
    <w:name w:val="Основной текст Знак"/>
    <w:basedOn w:val="a0"/>
    <w:link w:val="a8"/>
    <w:uiPriority w:val="99"/>
    <w:semiHidden/>
    <w:rsid w:val="002943B6"/>
    <w:rPr>
      <w:rFonts w:ascii="Times New Roman" w:eastAsia="Times New Roman" w:hAnsi="Times New Roman" w:cs="Times New Roman"/>
      <w:sz w:val="24"/>
      <w:szCs w:val="24"/>
      <w:lang w:eastAsia="ru-RU"/>
    </w:rPr>
  </w:style>
  <w:style w:type="paragraph" w:styleId="ab">
    <w:name w:val="Normal (Web)"/>
    <w:basedOn w:val="a"/>
    <w:uiPriority w:val="99"/>
    <w:unhideWhenUsed/>
    <w:rsid w:val="006C5A02"/>
    <w:pPr>
      <w:spacing w:before="100" w:beforeAutospacing="1" w:after="100" w:afterAutospacing="1"/>
    </w:pPr>
    <w:rPr>
      <w:rFonts w:eastAsiaTheme="minorEastAsia"/>
    </w:rPr>
  </w:style>
  <w:style w:type="character" w:customStyle="1" w:styleId="10">
    <w:name w:val="Заголовок 1 Знак"/>
    <w:basedOn w:val="a0"/>
    <w:link w:val="1"/>
    <w:uiPriority w:val="9"/>
    <w:rsid w:val="00D801C5"/>
    <w:rPr>
      <w:rFonts w:asciiTheme="majorHAnsi" w:eastAsiaTheme="majorEastAsia" w:hAnsiTheme="majorHAnsi" w:cstheme="majorBidi"/>
      <w:color w:val="365F91" w:themeColor="accent1" w:themeShade="BF"/>
      <w:sz w:val="32"/>
      <w:szCs w:val="32"/>
    </w:rPr>
  </w:style>
  <w:style w:type="paragraph" w:customStyle="1" w:styleId="ConsPlusNormal">
    <w:name w:val="ConsPlusNormal"/>
    <w:qFormat/>
    <w:rsid w:val="00D801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9F0551"/>
    <w:rPr>
      <w:rFonts w:ascii="Tahoma" w:hAnsi="Tahoma" w:cs="Tahoma"/>
      <w:sz w:val="16"/>
      <w:szCs w:val="16"/>
    </w:rPr>
  </w:style>
  <w:style w:type="character" w:customStyle="1" w:styleId="ad">
    <w:name w:val="Текст выноски Знак"/>
    <w:basedOn w:val="a0"/>
    <w:link w:val="ac"/>
    <w:uiPriority w:val="99"/>
    <w:semiHidden/>
    <w:rsid w:val="009F0551"/>
    <w:rPr>
      <w:rFonts w:ascii="Tahoma" w:eastAsia="Times New Roman" w:hAnsi="Tahoma" w:cs="Tahoma"/>
      <w:sz w:val="16"/>
      <w:szCs w:val="16"/>
      <w:lang w:eastAsia="ru-RU"/>
    </w:rPr>
  </w:style>
  <w:style w:type="paragraph" w:styleId="ae">
    <w:name w:val="No Spacing"/>
    <w:link w:val="af"/>
    <w:uiPriority w:val="1"/>
    <w:qFormat/>
    <w:rsid w:val="00F94900"/>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uiPriority w:val="1"/>
    <w:locked/>
    <w:rsid w:val="00F94900"/>
    <w:rPr>
      <w:rFonts w:ascii="Calibri" w:eastAsia="Times New Roman" w:hAnsi="Calibri" w:cs="Times New Roman"/>
      <w:lang w:eastAsia="ru-RU"/>
    </w:rPr>
  </w:style>
  <w:style w:type="paragraph" w:styleId="af0">
    <w:name w:val="Body Text Indent"/>
    <w:basedOn w:val="a"/>
    <w:link w:val="af1"/>
    <w:uiPriority w:val="99"/>
    <w:semiHidden/>
    <w:unhideWhenUsed/>
    <w:rsid w:val="00581880"/>
    <w:pPr>
      <w:spacing w:after="120"/>
      <w:ind w:left="283"/>
    </w:pPr>
  </w:style>
  <w:style w:type="character" w:customStyle="1" w:styleId="af1">
    <w:name w:val="Основной текст с отступом Знак"/>
    <w:basedOn w:val="a0"/>
    <w:link w:val="af0"/>
    <w:uiPriority w:val="99"/>
    <w:semiHidden/>
    <w:rsid w:val="00581880"/>
    <w:rPr>
      <w:rFonts w:ascii="Times New Roman" w:eastAsia="Times New Roman" w:hAnsi="Times New Roman" w:cs="Times New Roman"/>
      <w:sz w:val="24"/>
      <w:szCs w:val="24"/>
      <w:lang w:eastAsia="ru-RU"/>
    </w:rPr>
  </w:style>
  <w:style w:type="paragraph" w:styleId="af2">
    <w:name w:val="Subtitle"/>
    <w:basedOn w:val="a"/>
    <w:link w:val="af3"/>
    <w:qFormat/>
    <w:rsid w:val="00581880"/>
    <w:pPr>
      <w:spacing w:line="360" w:lineRule="auto"/>
    </w:pPr>
    <w:rPr>
      <w:szCs w:val="20"/>
    </w:rPr>
  </w:style>
  <w:style w:type="character" w:customStyle="1" w:styleId="af3">
    <w:name w:val="Подзаголовок Знак"/>
    <w:basedOn w:val="a0"/>
    <w:link w:val="af2"/>
    <w:rsid w:val="00581880"/>
    <w:rPr>
      <w:rFonts w:ascii="Times New Roman" w:eastAsia="Times New Roman" w:hAnsi="Times New Roman" w:cs="Times New Roman"/>
      <w:sz w:val="24"/>
      <w:szCs w:val="20"/>
      <w:lang w:eastAsia="ru-RU"/>
    </w:rPr>
  </w:style>
  <w:style w:type="character" w:styleId="af4">
    <w:name w:val="page number"/>
    <w:basedOn w:val="a0"/>
    <w:rsid w:val="0009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164">
      <w:bodyDiv w:val="1"/>
      <w:marLeft w:val="0"/>
      <w:marRight w:val="0"/>
      <w:marTop w:val="0"/>
      <w:marBottom w:val="0"/>
      <w:divBdr>
        <w:top w:val="none" w:sz="0" w:space="0" w:color="auto"/>
        <w:left w:val="none" w:sz="0" w:space="0" w:color="auto"/>
        <w:bottom w:val="none" w:sz="0" w:space="0" w:color="auto"/>
        <w:right w:val="none" w:sz="0" w:space="0" w:color="auto"/>
      </w:divBdr>
    </w:div>
    <w:div w:id="61830990">
      <w:bodyDiv w:val="1"/>
      <w:marLeft w:val="0"/>
      <w:marRight w:val="0"/>
      <w:marTop w:val="0"/>
      <w:marBottom w:val="0"/>
      <w:divBdr>
        <w:top w:val="none" w:sz="0" w:space="0" w:color="auto"/>
        <w:left w:val="none" w:sz="0" w:space="0" w:color="auto"/>
        <w:bottom w:val="none" w:sz="0" w:space="0" w:color="auto"/>
        <w:right w:val="none" w:sz="0" w:space="0" w:color="auto"/>
      </w:divBdr>
    </w:div>
    <w:div w:id="247160118">
      <w:bodyDiv w:val="1"/>
      <w:marLeft w:val="0"/>
      <w:marRight w:val="0"/>
      <w:marTop w:val="0"/>
      <w:marBottom w:val="0"/>
      <w:divBdr>
        <w:top w:val="none" w:sz="0" w:space="0" w:color="auto"/>
        <w:left w:val="none" w:sz="0" w:space="0" w:color="auto"/>
        <w:bottom w:val="none" w:sz="0" w:space="0" w:color="auto"/>
        <w:right w:val="none" w:sz="0" w:space="0" w:color="auto"/>
      </w:divBdr>
    </w:div>
    <w:div w:id="346449029">
      <w:bodyDiv w:val="1"/>
      <w:marLeft w:val="0"/>
      <w:marRight w:val="0"/>
      <w:marTop w:val="0"/>
      <w:marBottom w:val="0"/>
      <w:divBdr>
        <w:top w:val="none" w:sz="0" w:space="0" w:color="auto"/>
        <w:left w:val="none" w:sz="0" w:space="0" w:color="auto"/>
        <w:bottom w:val="none" w:sz="0" w:space="0" w:color="auto"/>
        <w:right w:val="none" w:sz="0" w:space="0" w:color="auto"/>
      </w:divBdr>
    </w:div>
    <w:div w:id="584387241">
      <w:bodyDiv w:val="1"/>
      <w:marLeft w:val="0"/>
      <w:marRight w:val="0"/>
      <w:marTop w:val="0"/>
      <w:marBottom w:val="0"/>
      <w:divBdr>
        <w:top w:val="none" w:sz="0" w:space="0" w:color="auto"/>
        <w:left w:val="none" w:sz="0" w:space="0" w:color="auto"/>
        <w:bottom w:val="none" w:sz="0" w:space="0" w:color="auto"/>
        <w:right w:val="none" w:sz="0" w:space="0" w:color="auto"/>
      </w:divBdr>
    </w:div>
    <w:div w:id="1412661236">
      <w:bodyDiv w:val="1"/>
      <w:marLeft w:val="0"/>
      <w:marRight w:val="0"/>
      <w:marTop w:val="0"/>
      <w:marBottom w:val="0"/>
      <w:divBdr>
        <w:top w:val="none" w:sz="0" w:space="0" w:color="auto"/>
        <w:left w:val="none" w:sz="0" w:space="0" w:color="auto"/>
        <w:bottom w:val="none" w:sz="0" w:space="0" w:color="auto"/>
        <w:right w:val="none" w:sz="0" w:space="0" w:color="auto"/>
      </w:divBdr>
      <w:divsChild>
        <w:div w:id="150222866">
          <w:marLeft w:val="0"/>
          <w:marRight w:val="0"/>
          <w:marTop w:val="0"/>
          <w:marBottom w:val="0"/>
          <w:divBdr>
            <w:top w:val="none" w:sz="0" w:space="0" w:color="auto"/>
            <w:left w:val="none" w:sz="0" w:space="0" w:color="auto"/>
            <w:bottom w:val="none" w:sz="0" w:space="0" w:color="auto"/>
            <w:right w:val="none" w:sz="0" w:space="0" w:color="auto"/>
          </w:divBdr>
        </w:div>
        <w:div w:id="621692031">
          <w:marLeft w:val="0"/>
          <w:marRight w:val="0"/>
          <w:marTop w:val="0"/>
          <w:marBottom w:val="0"/>
          <w:divBdr>
            <w:top w:val="none" w:sz="0" w:space="0" w:color="auto"/>
            <w:left w:val="none" w:sz="0" w:space="0" w:color="auto"/>
            <w:bottom w:val="none" w:sz="0" w:space="0" w:color="auto"/>
            <w:right w:val="none" w:sz="0" w:space="0" w:color="auto"/>
          </w:divBdr>
        </w:div>
        <w:div w:id="1567837323">
          <w:marLeft w:val="0"/>
          <w:marRight w:val="0"/>
          <w:marTop w:val="0"/>
          <w:marBottom w:val="0"/>
          <w:divBdr>
            <w:top w:val="none" w:sz="0" w:space="0" w:color="auto"/>
            <w:left w:val="none" w:sz="0" w:space="0" w:color="auto"/>
            <w:bottom w:val="none" w:sz="0" w:space="0" w:color="auto"/>
            <w:right w:val="none" w:sz="0" w:space="0" w:color="auto"/>
          </w:divBdr>
        </w:div>
        <w:div w:id="245579786">
          <w:marLeft w:val="0"/>
          <w:marRight w:val="0"/>
          <w:marTop w:val="0"/>
          <w:marBottom w:val="0"/>
          <w:divBdr>
            <w:top w:val="none" w:sz="0" w:space="0" w:color="auto"/>
            <w:left w:val="none" w:sz="0" w:space="0" w:color="auto"/>
            <w:bottom w:val="none" w:sz="0" w:space="0" w:color="auto"/>
            <w:right w:val="none" w:sz="0" w:space="0" w:color="auto"/>
          </w:divBdr>
        </w:div>
      </w:divsChild>
    </w:div>
    <w:div w:id="21079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509F-AEA8-4371-B0CB-777A24F9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2226</TotalTime>
  <Pages>1</Pages>
  <Words>2783</Words>
  <Characters>15868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ZarbalievaEM</dc:creator>
  <cp:lastModifiedBy>Александрова Ирина Юрьевна</cp:lastModifiedBy>
  <cp:revision>112</cp:revision>
  <cp:lastPrinted>2021-08-16T10:51:00Z</cp:lastPrinted>
  <dcterms:created xsi:type="dcterms:W3CDTF">2019-08-20T10:29:00Z</dcterms:created>
  <dcterms:modified xsi:type="dcterms:W3CDTF">2021-09-06T05:27:00Z</dcterms:modified>
</cp:coreProperties>
</file>